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1F" w:rsidRPr="00EC201F" w:rsidRDefault="00EC201F" w:rsidP="00EC201F">
      <w:pPr>
        <w:pStyle w:val="Default"/>
        <w:ind w:firstLine="720"/>
        <w:jc w:val="both"/>
        <w:rPr>
          <w:color w:val="auto"/>
          <w:sz w:val="28"/>
          <w:szCs w:val="28"/>
          <w:lang w:val="uk-UA"/>
        </w:rPr>
      </w:pPr>
      <w:r>
        <w:rPr>
          <w:color w:val="auto"/>
          <w:sz w:val="28"/>
          <w:szCs w:val="28"/>
          <w:lang w:val="en-US"/>
        </w:rPr>
        <w:t xml:space="preserve">    </w:t>
      </w:r>
      <w:r w:rsidRPr="00EC201F">
        <w:rPr>
          <w:color w:val="auto"/>
          <w:sz w:val="28"/>
          <w:szCs w:val="28"/>
          <w:lang w:val="uk-UA"/>
        </w:rPr>
        <w:t>The results of the activities of insurance companies in 2018</w:t>
      </w:r>
    </w:p>
    <w:p w:rsidR="00EC201F" w:rsidRPr="00EC201F" w:rsidRDefault="00EC201F" w:rsidP="00EC201F">
      <w:pPr>
        <w:pStyle w:val="Default"/>
        <w:ind w:firstLine="720"/>
        <w:jc w:val="both"/>
        <w:rPr>
          <w:color w:val="auto"/>
          <w:sz w:val="28"/>
          <w:szCs w:val="28"/>
          <w:lang w:val="uk-UA"/>
        </w:rPr>
      </w:pPr>
    </w:p>
    <w:p w:rsidR="00EC201F" w:rsidRPr="002B6B56" w:rsidRDefault="00EC201F" w:rsidP="002B6B56">
      <w:pPr>
        <w:pStyle w:val="Default"/>
        <w:ind w:firstLine="720"/>
        <w:jc w:val="both"/>
        <w:rPr>
          <w:color w:val="auto"/>
          <w:sz w:val="28"/>
          <w:szCs w:val="28"/>
          <w:lang w:val="uk-UA"/>
        </w:rPr>
      </w:pPr>
      <w:r w:rsidRPr="00EC201F">
        <w:rPr>
          <w:color w:val="auto"/>
          <w:sz w:val="28"/>
          <w:szCs w:val="28"/>
          <w:lang w:val="uk-UA"/>
        </w:rPr>
        <w:t>The insurance market is the second in terms of capitalization among other non-bank financial markets. The total number of insurance companies</w:t>
      </w:r>
      <w:r>
        <w:rPr>
          <w:color w:val="auto"/>
          <w:sz w:val="28"/>
          <w:szCs w:val="28"/>
          <w:lang w:val="en-US"/>
        </w:rPr>
        <w:t xml:space="preserve"> (IC)</w:t>
      </w:r>
      <w:r w:rsidRPr="00EC201F">
        <w:rPr>
          <w:color w:val="auto"/>
          <w:sz w:val="28"/>
          <w:szCs w:val="28"/>
          <w:lang w:val="uk-UA"/>
        </w:rPr>
        <w:t xml:space="preserve"> as of December 31, 2012 was 281, including IC "life" -30 companies, non-life insurance company - 251 companies (as of December 31, 2017 - 294 companies, including IC "life" - 33 companies, non-life insurance company - 261 companies). The number of insurance companies continues to decline, so in 2018 compared with 2017, the number of companies decreased by 13 IC, compared to 2016, it decreased by 29 IC.</w:t>
      </w:r>
      <w:r>
        <w:rPr>
          <w:color w:val="auto"/>
          <w:sz w:val="28"/>
          <w:szCs w:val="28"/>
          <w:lang w:val="en-US"/>
        </w:rPr>
        <w:t xml:space="preserve"> </w:t>
      </w:r>
    </w:p>
    <w:p w:rsidR="00EC201F" w:rsidRDefault="00EC201F" w:rsidP="003132FD">
      <w:pPr>
        <w:pStyle w:val="Default"/>
        <w:ind w:firstLine="720"/>
        <w:jc w:val="both"/>
        <w:rPr>
          <w:sz w:val="28"/>
          <w:szCs w:val="28"/>
          <w:lang w:val="en-US"/>
        </w:rPr>
      </w:pPr>
      <w:r w:rsidRPr="00EC201F">
        <w:rPr>
          <w:sz w:val="28"/>
          <w:szCs w:val="28"/>
          <w:lang w:val="uk-UA"/>
        </w:rPr>
        <w:t>In 2018, the share of gross insurance premiums in relation to GDP was 1.4%, which is 0.1 gross insurance premiums less compared to 2017; the share of net insurance premiums in relation to GDP remained at</w:t>
      </w:r>
      <w:r w:rsidR="002B6B56">
        <w:rPr>
          <w:sz w:val="28"/>
          <w:szCs w:val="28"/>
          <w:lang w:val="uk-UA"/>
        </w:rPr>
        <w:t xml:space="preserve"> the level of 2017 and was 1.0%</w:t>
      </w:r>
      <w:r w:rsidR="002B6B56">
        <w:rPr>
          <w:sz w:val="28"/>
          <w:szCs w:val="28"/>
          <w:lang w:val="en-US"/>
        </w:rPr>
        <w:t xml:space="preserve"> </w:t>
      </w:r>
      <w:r w:rsidR="002B6B56">
        <w:rPr>
          <w:sz w:val="28"/>
          <w:szCs w:val="28"/>
          <w:lang w:val="uk-UA"/>
        </w:rPr>
        <w:t xml:space="preserve">compared to 2017, </w:t>
      </w:r>
      <w:r w:rsidRPr="00EC201F">
        <w:rPr>
          <w:sz w:val="28"/>
          <w:szCs w:val="28"/>
          <w:lang w:val="uk-UA"/>
        </w:rPr>
        <w:t>5 935.7 million</w:t>
      </w:r>
      <w:r w:rsidR="002B6B56">
        <w:rPr>
          <w:sz w:val="28"/>
          <w:szCs w:val="28"/>
          <w:lang w:val="en-US"/>
        </w:rPr>
        <w:t xml:space="preserve"> UAH </w:t>
      </w:r>
      <w:r w:rsidRPr="00EC201F">
        <w:rPr>
          <w:sz w:val="28"/>
          <w:szCs w:val="28"/>
          <w:lang w:val="uk-UA"/>
        </w:rPr>
        <w:t>(13.7%) increased the volume of gross insurance premiums, net insu</w:t>
      </w:r>
      <w:r w:rsidR="002B6B56">
        <w:rPr>
          <w:sz w:val="28"/>
          <w:szCs w:val="28"/>
          <w:lang w:val="uk-UA"/>
        </w:rPr>
        <w:t>rance premiums increased by 5 929.9 million</w:t>
      </w:r>
      <w:r w:rsidR="002B6B56">
        <w:rPr>
          <w:sz w:val="28"/>
          <w:szCs w:val="28"/>
          <w:lang w:val="en-US"/>
        </w:rPr>
        <w:t xml:space="preserve"> UAH</w:t>
      </w:r>
      <w:r w:rsidRPr="00EC201F">
        <w:rPr>
          <w:sz w:val="28"/>
          <w:szCs w:val="28"/>
          <w:lang w:val="uk-UA"/>
        </w:rPr>
        <w:t xml:space="preserve"> (20.8%).</w:t>
      </w:r>
    </w:p>
    <w:p w:rsidR="00F70978" w:rsidRDefault="00F70978" w:rsidP="003132FD">
      <w:pPr>
        <w:pStyle w:val="Default"/>
        <w:ind w:firstLine="720"/>
        <w:jc w:val="both"/>
        <w:rPr>
          <w:sz w:val="28"/>
          <w:szCs w:val="28"/>
          <w:lang w:val="en-US"/>
        </w:rPr>
      </w:pPr>
      <w:r w:rsidRPr="00F70978">
        <w:rPr>
          <w:sz w:val="28"/>
          <w:szCs w:val="28"/>
          <w:lang w:val="en-US"/>
        </w:rPr>
        <w:t xml:space="preserve">The increase in gross insurance premiums was made for almost all types of insurance, namely: car insurance (CNC insurance, </w:t>
      </w:r>
      <w:r w:rsidR="002B6B56">
        <w:rPr>
          <w:sz w:val="28"/>
          <w:szCs w:val="28"/>
          <w:lang w:val="en-US"/>
        </w:rPr>
        <w:t>C</w:t>
      </w:r>
      <w:r w:rsidRPr="00F70978">
        <w:rPr>
          <w:sz w:val="28"/>
          <w:szCs w:val="28"/>
          <w:lang w:val="en-US"/>
        </w:rPr>
        <w:t xml:space="preserve">MTPL, </w:t>
      </w:r>
      <w:r w:rsidR="002B6B56">
        <w:rPr>
          <w:sz w:val="28"/>
          <w:szCs w:val="28"/>
          <w:lang w:val="en-US"/>
        </w:rPr>
        <w:t xml:space="preserve">Green Card) (an increase of  </w:t>
      </w:r>
      <w:r w:rsidRPr="00F70978">
        <w:rPr>
          <w:sz w:val="28"/>
          <w:szCs w:val="28"/>
          <w:lang w:val="en-US"/>
        </w:rPr>
        <w:t>2,362.1 million</w:t>
      </w:r>
      <w:r w:rsidR="002B6B56">
        <w:rPr>
          <w:sz w:val="28"/>
          <w:szCs w:val="28"/>
          <w:lang w:val="en-US"/>
        </w:rPr>
        <w:t xml:space="preserve"> UAH</w:t>
      </w:r>
      <w:r w:rsidRPr="00F70978">
        <w:rPr>
          <w:sz w:val="28"/>
          <w:szCs w:val="28"/>
          <w:lang w:val="en-US"/>
        </w:rPr>
        <w:t xml:space="preserve"> (22.3%)); property insurance </w:t>
      </w:r>
      <w:r w:rsidR="002B6B56">
        <w:rPr>
          <w:sz w:val="28"/>
          <w:szCs w:val="28"/>
          <w:lang w:val="en-US"/>
        </w:rPr>
        <w:t>(increase by1 341.3 million UAH</w:t>
      </w:r>
      <w:r w:rsidRPr="00F70978">
        <w:rPr>
          <w:sz w:val="28"/>
          <w:szCs w:val="28"/>
          <w:lang w:val="en-US"/>
        </w:rPr>
        <w:t xml:space="preserve"> (26.3%)); life insurance (an increase of 992.4 million UAH (34.1%)); insurance against fire risks and risks of natura</w:t>
      </w:r>
      <w:r w:rsidR="002B6B56">
        <w:rPr>
          <w:sz w:val="28"/>
          <w:szCs w:val="28"/>
          <w:lang w:val="en-US"/>
        </w:rPr>
        <w:t xml:space="preserve">l disasters (an increase of </w:t>
      </w:r>
      <w:r w:rsidRPr="00F70978">
        <w:rPr>
          <w:sz w:val="28"/>
          <w:szCs w:val="28"/>
          <w:lang w:val="en-US"/>
        </w:rPr>
        <w:t>899.0 million</w:t>
      </w:r>
      <w:r w:rsidR="002B6B56">
        <w:rPr>
          <w:sz w:val="28"/>
          <w:szCs w:val="28"/>
          <w:lang w:val="en-US"/>
        </w:rPr>
        <w:t xml:space="preserve"> UAH</w:t>
      </w:r>
      <w:r w:rsidRPr="00F70978">
        <w:rPr>
          <w:sz w:val="28"/>
          <w:szCs w:val="28"/>
          <w:lang w:val="en-US"/>
        </w:rPr>
        <w:t xml:space="preserve"> (25.0%)); Insurance of loans (increase by 748.6 million UAH (2 times)); medical insurance (increase by 605.4 million UAH (21.0%)); medical expenses insurance (increase by 454.9 million UAH (55.1%)); accident insurance (an increase of 445.7 million UAH (34.1%)).</w:t>
      </w:r>
    </w:p>
    <w:p w:rsidR="00F70978" w:rsidRDefault="00837ABF" w:rsidP="00F84972">
      <w:pPr>
        <w:pStyle w:val="Default"/>
        <w:ind w:firstLine="720"/>
        <w:jc w:val="both"/>
        <w:rPr>
          <w:sz w:val="28"/>
          <w:szCs w:val="28"/>
          <w:lang w:val="en-US"/>
        </w:rPr>
      </w:pPr>
      <w:r w:rsidRPr="00837ABF">
        <w:rPr>
          <w:sz w:val="28"/>
          <w:szCs w:val="28"/>
          <w:lang w:val="en-US"/>
        </w:rPr>
        <w:t>At the same time, gross insurance premiums for insurance of cargoes and lug</w:t>
      </w:r>
      <w:r w:rsidR="002B6B56">
        <w:rPr>
          <w:sz w:val="28"/>
          <w:szCs w:val="28"/>
          <w:lang w:val="en-US"/>
        </w:rPr>
        <w:t xml:space="preserve">gage decreased (decrease by </w:t>
      </w:r>
      <w:r w:rsidRPr="00837ABF">
        <w:rPr>
          <w:sz w:val="28"/>
          <w:szCs w:val="28"/>
          <w:lang w:val="en-US"/>
        </w:rPr>
        <w:t>1 787.7 million</w:t>
      </w:r>
      <w:r w:rsidR="002B6B56">
        <w:rPr>
          <w:sz w:val="28"/>
          <w:szCs w:val="28"/>
          <w:lang w:val="en-US"/>
        </w:rPr>
        <w:t xml:space="preserve"> UAH</w:t>
      </w:r>
      <w:r w:rsidRPr="00837ABF">
        <w:rPr>
          <w:sz w:val="28"/>
          <w:szCs w:val="28"/>
          <w:lang w:val="en-US"/>
        </w:rPr>
        <w:t xml:space="preserve"> (38.1%)); financial risk insurance (decrease by 458.9 m</w:t>
      </w:r>
      <w:r w:rsidR="002B6B56">
        <w:rPr>
          <w:sz w:val="28"/>
          <w:szCs w:val="28"/>
          <w:lang w:val="en-US"/>
        </w:rPr>
        <w:t>il</w:t>
      </w:r>
      <w:r w:rsidRPr="00837ABF">
        <w:rPr>
          <w:sz w:val="28"/>
          <w:szCs w:val="28"/>
          <w:lang w:val="en-US"/>
        </w:rPr>
        <w:t>l</w:t>
      </w:r>
      <w:r w:rsidR="002B6B56">
        <w:rPr>
          <w:sz w:val="28"/>
          <w:szCs w:val="28"/>
          <w:lang w:val="en-US"/>
        </w:rPr>
        <w:t>io</w:t>
      </w:r>
      <w:r w:rsidRPr="00837ABF">
        <w:rPr>
          <w:sz w:val="28"/>
          <w:szCs w:val="28"/>
          <w:lang w:val="en-US"/>
        </w:rPr>
        <w:t>n UAH (8.2%)); liability insurance to</w:t>
      </w:r>
      <w:r w:rsidR="002B6B56">
        <w:rPr>
          <w:sz w:val="28"/>
          <w:szCs w:val="28"/>
          <w:lang w:val="en-US"/>
        </w:rPr>
        <w:t xml:space="preserve"> third parties (decrease by </w:t>
      </w:r>
      <w:r w:rsidRPr="00837ABF">
        <w:rPr>
          <w:sz w:val="28"/>
          <w:szCs w:val="28"/>
          <w:lang w:val="en-US"/>
        </w:rPr>
        <w:t>357.8 million</w:t>
      </w:r>
      <w:r w:rsidR="002B6B56">
        <w:rPr>
          <w:sz w:val="28"/>
          <w:szCs w:val="28"/>
          <w:lang w:val="en-US"/>
        </w:rPr>
        <w:t xml:space="preserve"> UAH</w:t>
      </w:r>
      <w:r w:rsidRPr="00837ABF">
        <w:rPr>
          <w:sz w:val="28"/>
          <w:szCs w:val="28"/>
          <w:lang w:val="en-US"/>
        </w:rPr>
        <w:t xml:space="preserve"> (12.2%)).</w:t>
      </w:r>
      <w:r w:rsidR="002B6B56">
        <w:rPr>
          <w:sz w:val="28"/>
          <w:szCs w:val="28"/>
          <w:lang w:val="en-US"/>
        </w:rPr>
        <w:t xml:space="preserve"> </w:t>
      </w:r>
      <w:r w:rsidRPr="00837ABF">
        <w:rPr>
          <w:sz w:val="28"/>
          <w:szCs w:val="28"/>
          <w:lang w:val="en-US"/>
        </w:rPr>
        <w:t xml:space="preserve">Share of net insurance premiums in gross insurance premiums for the year 2018 was 69.7%, which </w:t>
      </w:r>
      <w:proofErr w:type="gramStart"/>
      <w:r w:rsidRPr="00837ABF">
        <w:rPr>
          <w:sz w:val="28"/>
          <w:szCs w:val="28"/>
          <w:lang w:val="en-US"/>
        </w:rPr>
        <w:t>is</w:t>
      </w:r>
      <w:proofErr w:type="gramEnd"/>
      <w:r w:rsidRPr="00837ABF">
        <w:rPr>
          <w:sz w:val="28"/>
          <w:szCs w:val="28"/>
          <w:lang w:val="en-US"/>
        </w:rPr>
        <w:t xml:space="preserve"> 4.1 gross premiums more in comparison</w:t>
      </w:r>
      <w:r>
        <w:rPr>
          <w:sz w:val="28"/>
          <w:szCs w:val="28"/>
          <w:lang w:val="en-US"/>
        </w:rPr>
        <w:t xml:space="preserve"> </w:t>
      </w:r>
      <w:r w:rsidRPr="00837ABF">
        <w:rPr>
          <w:sz w:val="28"/>
          <w:szCs w:val="28"/>
          <w:lang w:val="en-US"/>
        </w:rPr>
        <w:t>from 2017 year.</w:t>
      </w:r>
    </w:p>
    <w:p w:rsidR="00CF34B3" w:rsidRDefault="00CF34B3" w:rsidP="00F84972">
      <w:pPr>
        <w:pStyle w:val="Default"/>
        <w:ind w:firstLine="720"/>
        <w:jc w:val="both"/>
        <w:rPr>
          <w:sz w:val="28"/>
          <w:szCs w:val="28"/>
          <w:lang w:val="en-US"/>
        </w:rPr>
      </w:pPr>
      <w:r w:rsidRPr="00CF34B3">
        <w:rPr>
          <w:sz w:val="28"/>
          <w:szCs w:val="28"/>
          <w:lang w:val="en-US"/>
        </w:rPr>
        <w:t>During the analyzed period, the number of concluded insurance contracts increased by 15 594.6 thousand units (or by 8.4%), while by 4 909.5 thousand units (or by 8.1%) the number of voluntary insurance contracts increased, including an increase in the number of concluded accident insurance contracts by 4,484.5 thousand units (or 13.5%), the number of concluded contracts for medical expenses increased by 850.2 thousand units (or 23.5%), the number of concluded contracts of financial risk insurance decreased by 1 180.5 thousand units (or 16.8%).</w:t>
      </w:r>
    </w:p>
    <w:p w:rsidR="00CF34B3" w:rsidRDefault="00CF34B3" w:rsidP="006F24B1">
      <w:pPr>
        <w:pStyle w:val="Default"/>
        <w:ind w:firstLine="720"/>
        <w:jc w:val="both"/>
        <w:rPr>
          <w:sz w:val="28"/>
          <w:szCs w:val="28"/>
          <w:lang w:val="en-US"/>
        </w:rPr>
      </w:pPr>
      <w:r w:rsidRPr="00CF34B3">
        <w:rPr>
          <w:sz w:val="28"/>
          <w:szCs w:val="28"/>
          <w:lang w:val="en-US"/>
        </w:rPr>
        <w:t>The number of concluded contracts for compulsory insurance increased by 9 222</w:t>
      </w:r>
      <w:proofErr w:type="gramStart"/>
      <w:r w:rsidRPr="00CF34B3">
        <w:rPr>
          <w:sz w:val="28"/>
          <w:szCs w:val="28"/>
          <w:lang w:val="en-US"/>
        </w:rPr>
        <w:t>,3</w:t>
      </w:r>
      <w:proofErr w:type="gramEnd"/>
      <w:r w:rsidRPr="00CF34B3">
        <w:rPr>
          <w:sz w:val="28"/>
          <w:szCs w:val="28"/>
          <w:lang w:val="en-US"/>
        </w:rPr>
        <w:t xml:space="preserve"> thousand units (or 7,5%) due to the increase in the number of insurance contracts on accidents in transport by 8 757,9 thousand units (7,6%). Gross insurance premiums / reimbursements compared to 2017 increased by 2,326.6 million UAH. (22.1%), net insu</w:t>
      </w:r>
      <w:r w:rsidR="002B6B56">
        <w:rPr>
          <w:sz w:val="28"/>
          <w:szCs w:val="28"/>
          <w:lang w:val="en-US"/>
        </w:rPr>
        <w:t xml:space="preserve">rance payments increased by </w:t>
      </w:r>
      <w:r w:rsidRPr="00CF34B3">
        <w:rPr>
          <w:sz w:val="28"/>
          <w:szCs w:val="28"/>
          <w:lang w:val="en-US"/>
        </w:rPr>
        <w:t>2,175.8 million</w:t>
      </w:r>
      <w:r w:rsidR="002B6B56">
        <w:rPr>
          <w:sz w:val="28"/>
          <w:szCs w:val="28"/>
          <w:lang w:val="en-US"/>
        </w:rPr>
        <w:t xml:space="preserve"> UAH</w:t>
      </w:r>
      <w:r w:rsidRPr="00CF34B3">
        <w:rPr>
          <w:sz w:val="28"/>
          <w:szCs w:val="28"/>
          <w:lang w:val="en-US"/>
        </w:rPr>
        <w:t xml:space="preserve"> (21.2%). The gross insurance premiums increased from the following types of insurance: propert</w:t>
      </w:r>
      <w:r w:rsidR="00956E23">
        <w:rPr>
          <w:sz w:val="28"/>
          <w:szCs w:val="28"/>
          <w:lang w:val="en-US"/>
        </w:rPr>
        <w:t xml:space="preserve">y insurance (an increase of </w:t>
      </w:r>
      <w:r w:rsidRPr="00CF34B3">
        <w:rPr>
          <w:sz w:val="28"/>
          <w:szCs w:val="28"/>
          <w:lang w:val="en-US"/>
        </w:rPr>
        <w:t xml:space="preserve">1,161.2 million </w:t>
      </w:r>
      <w:r w:rsidR="00956E23">
        <w:rPr>
          <w:sz w:val="28"/>
          <w:szCs w:val="28"/>
          <w:lang w:val="en-US"/>
        </w:rPr>
        <w:t xml:space="preserve">UAH </w:t>
      </w:r>
      <w:r w:rsidRPr="00CF34B3">
        <w:rPr>
          <w:sz w:val="28"/>
          <w:szCs w:val="28"/>
          <w:lang w:val="en-US"/>
        </w:rPr>
        <w:t xml:space="preserve">(4 times)), auto insurance (an increase </w:t>
      </w:r>
      <w:r w:rsidR="00956E23">
        <w:rPr>
          <w:sz w:val="28"/>
          <w:szCs w:val="28"/>
          <w:lang w:val="en-US"/>
        </w:rPr>
        <w:lastRenderedPageBreak/>
        <w:t xml:space="preserve">of </w:t>
      </w:r>
      <w:r w:rsidRPr="00CF34B3">
        <w:rPr>
          <w:sz w:val="28"/>
          <w:szCs w:val="28"/>
          <w:lang w:val="en-US"/>
        </w:rPr>
        <w:t xml:space="preserve">833.8 million </w:t>
      </w:r>
      <w:proofErr w:type="gramStart"/>
      <w:r w:rsidR="00956E23">
        <w:rPr>
          <w:sz w:val="28"/>
          <w:szCs w:val="28"/>
          <w:lang w:val="en-US"/>
        </w:rPr>
        <w:t>UAH</w:t>
      </w:r>
      <w:r w:rsidRPr="00CF34B3">
        <w:rPr>
          <w:sz w:val="28"/>
          <w:szCs w:val="28"/>
          <w:lang w:val="en-US"/>
        </w:rPr>
        <w:t>(</w:t>
      </w:r>
      <w:proofErr w:type="gramEnd"/>
      <w:r w:rsidRPr="00CF34B3">
        <w:rPr>
          <w:sz w:val="28"/>
          <w:szCs w:val="28"/>
          <w:lang w:val="en-US"/>
        </w:rPr>
        <w:t>16.7%)), medical insurance (an increase of 423.3 million UAH (25.3%)), life insurance (an increase of 148.6 million UAH (26.7%)).</w:t>
      </w:r>
    </w:p>
    <w:p w:rsidR="00CF34B3" w:rsidRDefault="00CF34B3" w:rsidP="00440BB0">
      <w:pPr>
        <w:pStyle w:val="Default"/>
        <w:ind w:firstLine="708"/>
        <w:jc w:val="both"/>
        <w:rPr>
          <w:sz w:val="28"/>
          <w:szCs w:val="28"/>
          <w:lang w:val="en-US"/>
        </w:rPr>
      </w:pPr>
      <w:r w:rsidRPr="00CF34B3">
        <w:rPr>
          <w:sz w:val="28"/>
          <w:szCs w:val="28"/>
          <w:lang w:val="en-US"/>
        </w:rPr>
        <w:t>At the same time, gross insurance premiums on insurance of financial r</w:t>
      </w:r>
      <w:r w:rsidR="002A560C">
        <w:rPr>
          <w:sz w:val="28"/>
          <w:szCs w:val="28"/>
          <w:lang w:val="en-US"/>
        </w:rPr>
        <w:t xml:space="preserve">isks decreased (decrease by </w:t>
      </w:r>
      <w:r w:rsidRPr="00CF34B3">
        <w:rPr>
          <w:sz w:val="28"/>
          <w:szCs w:val="28"/>
          <w:lang w:val="en-US"/>
        </w:rPr>
        <w:t>294.3 million</w:t>
      </w:r>
      <w:r w:rsidR="002A560C">
        <w:rPr>
          <w:sz w:val="28"/>
          <w:szCs w:val="28"/>
          <w:lang w:val="en-US"/>
        </w:rPr>
        <w:t xml:space="preserve"> UAH</w:t>
      </w:r>
      <w:r w:rsidRPr="00CF34B3">
        <w:rPr>
          <w:sz w:val="28"/>
          <w:szCs w:val="28"/>
          <w:lang w:val="en-US"/>
        </w:rPr>
        <w:t xml:space="preserve"> (15.7%)), insu</w:t>
      </w:r>
      <w:r w:rsidR="0013099B">
        <w:rPr>
          <w:sz w:val="28"/>
          <w:szCs w:val="28"/>
          <w:lang w:val="en-US"/>
        </w:rPr>
        <w:t xml:space="preserve">rance of loans (decrease by </w:t>
      </w:r>
      <w:r w:rsidRPr="00CF34B3">
        <w:rPr>
          <w:sz w:val="28"/>
          <w:szCs w:val="28"/>
          <w:lang w:val="en-US"/>
        </w:rPr>
        <w:t xml:space="preserve">183.3 million </w:t>
      </w:r>
      <w:r w:rsidR="0013099B">
        <w:rPr>
          <w:sz w:val="28"/>
          <w:szCs w:val="28"/>
          <w:lang w:val="en-US"/>
        </w:rPr>
        <w:t xml:space="preserve">UAH </w:t>
      </w:r>
      <w:r w:rsidRPr="00CF34B3">
        <w:rPr>
          <w:sz w:val="28"/>
          <w:szCs w:val="28"/>
          <w:lang w:val="en-US"/>
        </w:rPr>
        <w:t>(70.1%)).The level of gross payments in comparison with the same period in 2017 increased by 1.8 gross premiums and amounted to 26.1%. The level of net insurance payments as at 31.12.2018 amounted to 36.1%, which is more by 0.1 gross premiums in comparison with the same period last year.</w:t>
      </w:r>
      <w:r w:rsidR="0013099B">
        <w:rPr>
          <w:sz w:val="28"/>
          <w:szCs w:val="28"/>
          <w:lang w:val="en-US"/>
        </w:rPr>
        <w:t xml:space="preserve"> </w:t>
      </w:r>
      <w:r w:rsidRPr="00CF34B3">
        <w:rPr>
          <w:sz w:val="28"/>
          <w:szCs w:val="28"/>
          <w:lang w:val="en-US"/>
        </w:rPr>
        <w:t>The high level of gross and net insurance payments is observed on health insurance - 60.1% and 64.6%, by types of voluntary personal insurance - 37.2% and 42.7%, by types of non-state compulsory insurance - 36.2% and 37.0% respectively.</w:t>
      </w:r>
    </w:p>
    <w:p w:rsidR="00CF34B3" w:rsidRDefault="00CF34B3" w:rsidP="00CF34B3">
      <w:pPr>
        <w:rPr>
          <w:rStyle w:val="tlid-translation"/>
          <w:sz w:val="28"/>
          <w:szCs w:val="28"/>
          <w:lang w:val="en-US"/>
        </w:rPr>
      </w:pPr>
      <w:r w:rsidRPr="00347FF8">
        <w:rPr>
          <w:rStyle w:val="tlid-translation"/>
          <w:sz w:val="28"/>
          <w:szCs w:val="28"/>
          <w:lang w:val="en-US"/>
        </w:rPr>
        <w:t>Exit reinsurance operations for 2018 decreased by 2.1% fro</w:t>
      </w:r>
      <w:r w:rsidR="0013099B">
        <w:rPr>
          <w:rStyle w:val="tlid-translation"/>
          <w:sz w:val="28"/>
          <w:szCs w:val="28"/>
          <w:lang w:val="en-US"/>
        </w:rPr>
        <w:t xml:space="preserve">m </w:t>
      </w:r>
      <w:r w:rsidRPr="00347FF8">
        <w:rPr>
          <w:rStyle w:val="tlid-translation"/>
          <w:sz w:val="28"/>
          <w:szCs w:val="28"/>
          <w:lang w:val="en-US"/>
        </w:rPr>
        <w:t>18 333.6 m</w:t>
      </w:r>
      <w:r w:rsidR="0013099B">
        <w:rPr>
          <w:rStyle w:val="tlid-translation"/>
          <w:sz w:val="28"/>
          <w:szCs w:val="28"/>
          <w:lang w:val="en-US"/>
        </w:rPr>
        <w:t>il</w:t>
      </w:r>
      <w:r w:rsidRPr="00347FF8">
        <w:rPr>
          <w:rStyle w:val="tlid-translation"/>
          <w:sz w:val="28"/>
          <w:szCs w:val="28"/>
          <w:lang w:val="en-US"/>
        </w:rPr>
        <w:t>l</w:t>
      </w:r>
      <w:r w:rsidR="0013099B">
        <w:rPr>
          <w:rStyle w:val="tlid-translation"/>
          <w:sz w:val="28"/>
          <w:szCs w:val="28"/>
          <w:lang w:val="en-US"/>
        </w:rPr>
        <w:t xml:space="preserve">ion UAH to </w:t>
      </w:r>
      <w:r w:rsidRPr="00347FF8">
        <w:rPr>
          <w:rStyle w:val="tlid-translation"/>
          <w:sz w:val="28"/>
          <w:szCs w:val="28"/>
          <w:lang w:val="en-US"/>
        </w:rPr>
        <w:t>17 940.7 million</w:t>
      </w:r>
      <w:r w:rsidR="0013099B">
        <w:rPr>
          <w:rStyle w:val="tlid-translation"/>
          <w:sz w:val="28"/>
          <w:szCs w:val="28"/>
          <w:lang w:val="en-US"/>
        </w:rPr>
        <w:t xml:space="preserve"> UAH</w:t>
      </w:r>
      <w:r w:rsidRPr="00347FF8">
        <w:rPr>
          <w:rStyle w:val="tlid-translation"/>
          <w:sz w:val="28"/>
          <w:szCs w:val="28"/>
          <w:lang w:val="en-US"/>
        </w:rPr>
        <w:t xml:space="preserve"> by reducing on</w:t>
      </w:r>
      <w:r w:rsidR="0013099B">
        <w:rPr>
          <w:sz w:val="28"/>
          <w:szCs w:val="28"/>
          <w:lang w:val="en-US"/>
        </w:rPr>
        <w:t xml:space="preserve"> </w:t>
      </w:r>
      <w:r w:rsidRPr="00347FF8">
        <w:rPr>
          <w:rStyle w:val="tlid-translation"/>
          <w:sz w:val="28"/>
          <w:szCs w:val="28"/>
          <w:lang w:val="en-US"/>
        </w:rPr>
        <w:t xml:space="preserve">398.7 million UAH. </w:t>
      </w:r>
      <w:proofErr w:type="gramStart"/>
      <w:r w:rsidRPr="00347FF8">
        <w:rPr>
          <w:rStyle w:val="tlid-translation"/>
          <w:sz w:val="28"/>
          <w:szCs w:val="28"/>
          <w:lang w:val="en-US"/>
        </w:rPr>
        <w:t>(11.7%) of reinsurance volumes with non-resident insurers.</w:t>
      </w:r>
      <w:proofErr w:type="gramEnd"/>
      <w:r w:rsidRPr="00347FF8">
        <w:rPr>
          <w:rStyle w:val="tlid-translation"/>
          <w:sz w:val="28"/>
          <w:szCs w:val="28"/>
          <w:lang w:val="en-US"/>
        </w:rPr>
        <w:t xml:space="preserve"> At the same time, reinsurance operations in the middl</w:t>
      </w:r>
      <w:r w:rsidR="0013099B">
        <w:rPr>
          <w:rStyle w:val="tlid-translation"/>
          <w:sz w:val="28"/>
          <w:szCs w:val="28"/>
          <w:lang w:val="en-US"/>
        </w:rPr>
        <w:t>e of the country increased by 5.8 million UAH</w:t>
      </w:r>
      <w:r w:rsidRPr="00347FF8">
        <w:rPr>
          <w:rStyle w:val="tlid-translation"/>
          <w:sz w:val="28"/>
          <w:szCs w:val="28"/>
          <w:lang w:val="en-US"/>
        </w:rPr>
        <w:t xml:space="preserve"> (0.04%).</w:t>
      </w:r>
      <w:r w:rsidRPr="00347FF8">
        <w:rPr>
          <w:sz w:val="28"/>
          <w:szCs w:val="28"/>
          <w:lang w:val="en-US"/>
        </w:rPr>
        <w:br/>
      </w:r>
      <w:r w:rsidRPr="00347FF8">
        <w:rPr>
          <w:rStyle w:val="tlid-translation"/>
          <w:sz w:val="28"/>
          <w:szCs w:val="28"/>
          <w:lang w:val="en-US"/>
        </w:rPr>
        <w:t>Insurance reserves as of Dec</w:t>
      </w:r>
      <w:r w:rsidR="0013099B">
        <w:rPr>
          <w:rStyle w:val="tlid-translation"/>
          <w:sz w:val="28"/>
          <w:szCs w:val="28"/>
          <w:lang w:val="en-US"/>
        </w:rPr>
        <w:t>ember 31, 2012 increased by 4 111.2 million UAH</w:t>
      </w:r>
      <w:r w:rsidRPr="00347FF8">
        <w:rPr>
          <w:rStyle w:val="tlid-translation"/>
          <w:sz w:val="28"/>
          <w:szCs w:val="28"/>
          <w:lang w:val="en-US"/>
        </w:rPr>
        <w:t xml:space="preserve"> (18.0%) compared to the similar date in 2017, while life insu</w:t>
      </w:r>
      <w:r w:rsidR="0013099B">
        <w:rPr>
          <w:rStyle w:val="tlid-translation"/>
          <w:sz w:val="28"/>
          <w:szCs w:val="28"/>
          <w:lang w:val="en-US"/>
        </w:rPr>
        <w:t xml:space="preserve">rance reserves increased by 945.5 million UAH </w:t>
      </w:r>
      <w:r w:rsidRPr="0013099B">
        <w:rPr>
          <w:rStyle w:val="tlid-translation"/>
          <w:sz w:val="28"/>
          <w:szCs w:val="28"/>
          <w:lang w:val="en-US"/>
        </w:rPr>
        <w:t>(1</w:t>
      </w:r>
      <w:r w:rsidR="0013099B">
        <w:rPr>
          <w:rStyle w:val="tlid-translation"/>
          <w:sz w:val="28"/>
          <w:szCs w:val="28"/>
          <w:lang w:val="en-US"/>
        </w:rPr>
        <w:t>1.3%), technical reserves - 3 165.7 million UAH</w:t>
      </w:r>
      <w:r w:rsidRPr="0013099B">
        <w:rPr>
          <w:rStyle w:val="tlid-translation"/>
          <w:sz w:val="28"/>
          <w:szCs w:val="28"/>
          <w:lang w:val="en-US"/>
        </w:rPr>
        <w:t xml:space="preserve"> (21.9%).</w:t>
      </w:r>
      <w:r w:rsidRPr="0013099B">
        <w:rPr>
          <w:sz w:val="28"/>
          <w:szCs w:val="28"/>
          <w:lang w:val="en-US"/>
        </w:rPr>
        <w:br/>
      </w:r>
      <w:r w:rsidRPr="00347FF8">
        <w:rPr>
          <w:rStyle w:val="tlid-translation"/>
          <w:sz w:val="28"/>
          <w:szCs w:val="28"/>
          <w:lang w:val="en-US"/>
        </w:rPr>
        <w:t>Compared to the same date in 2017, such indicators as total assets of insurers i</w:t>
      </w:r>
      <w:r w:rsidR="0013099B">
        <w:rPr>
          <w:rStyle w:val="tlid-translation"/>
          <w:sz w:val="28"/>
          <w:szCs w:val="28"/>
          <w:lang w:val="en-US"/>
        </w:rPr>
        <w:t>ncreased by 6 112.3 million UAH</w:t>
      </w:r>
      <w:r w:rsidRPr="00347FF8">
        <w:rPr>
          <w:rStyle w:val="tlid-translation"/>
          <w:sz w:val="28"/>
          <w:szCs w:val="28"/>
          <w:lang w:val="en-US"/>
        </w:rPr>
        <w:t xml:space="preserve"> (10.7%), of which assets determined by law to cover insurance reserves </w:t>
      </w:r>
      <w:r w:rsidR="0013099B">
        <w:rPr>
          <w:rStyle w:val="tlid-translation"/>
          <w:sz w:val="28"/>
          <w:szCs w:val="28"/>
          <w:lang w:val="en-US"/>
        </w:rPr>
        <w:t>–</w:t>
      </w:r>
      <w:r w:rsidRPr="00347FF8">
        <w:rPr>
          <w:rStyle w:val="tlid-translation"/>
          <w:sz w:val="28"/>
          <w:szCs w:val="28"/>
          <w:lang w:val="en-US"/>
        </w:rPr>
        <w:t xml:space="preserve"> by</w:t>
      </w:r>
      <w:r w:rsidR="0013099B">
        <w:rPr>
          <w:sz w:val="28"/>
          <w:szCs w:val="28"/>
          <w:lang w:val="en-US"/>
        </w:rPr>
        <w:t xml:space="preserve"> </w:t>
      </w:r>
      <w:r w:rsidR="0013099B">
        <w:rPr>
          <w:rStyle w:val="tlid-translation"/>
          <w:sz w:val="28"/>
          <w:szCs w:val="28"/>
          <w:lang w:val="en-US"/>
        </w:rPr>
        <w:t xml:space="preserve">4 581.9 million </w:t>
      </w:r>
      <w:r w:rsidRPr="00347FF8">
        <w:rPr>
          <w:rStyle w:val="tlid-translation"/>
          <w:sz w:val="28"/>
          <w:szCs w:val="28"/>
          <w:lang w:val="en-US"/>
        </w:rPr>
        <w:t>UAH (12.7%).</w:t>
      </w:r>
    </w:p>
    <w:p w:rsidR="00C17D1B" w:rsidRDefault="00C17D1B" w:rsidP="00C17D1B">
      <w:pPr>
        <w:rPr>
          <w:sz w:val="28"/>
          <w:szCs w:val="28"/>
          <w:lang w:val="en-US"/>
        </w:rPr>
      </w:pPr>
    </w:p>
    <w:p w:rsidR="00C17D1B" w:rsidRPr="00C17D1B" w:rsidRDefault="00C17D1B" w:rsidP="00C17D1B">
      <w:pPr>
        <w:rPr>
          <w:sz w:val="28"/>
          <w:szCs w:val="28"/>
          <w:lang w:val="en-US"/>
        </w:rPr>
      </w:pPr>
      <w:r w:rsidRPr="00C17D1B">
        <w:rPr>
          <w:sz w:val="28"/>
          <w:szCs w:val="28"/>
          <w:lang w:val="en-US"/>
        </w:rPr>
        <w:t>The main indicators of the insurance market and its dynamics are presented in Table 1.</w:t>
      </w:r>
    </w:p>
    <w:p w:rsidR="00C17D1B" w:rsidRPr="00C17D1B" w:rsidRDefault="00C17D1B" w:rsidP="00C17D1B">
      <w:pPr>
        <w:rPr>
          <w:sz w:val="28"/>
          <w:szCs w:val="28"/>
          <w:lang w:val="en-US"/>
        </w:rPr>
      </w:pPr>
      <w:r>
        <w:rPr>
          <w:sz w:val="28"/>
          <w:szCs w:val="28"/>
          <w:lang w:val="en-US"/>
        </w:rPr>
        <w:t xml:space="preserve">                                                                                                                             </w:t>
      </w:r>
      <w:r w:rsidRPr="00C17D1B">
        <w:rPr>
          <w:sz w:val="28"/>
          <w:szCs w:val="28"/>
          <w:lang w:val="en-US"/>
        </w:rPr>
        <w:t>Table 1</w:t>
      </w:r>
    </w:p>
    <w:p w:rsidR="00C17D1B" w:rsidRPr="00C17D1B" w:rsidRDefault="00C17D1B" w:rsidP="00C17D1B">
      <w:pPr>
        <w:rPr>
          <w:sz w:val="28"/>
          <w:szCs w:val="28"/>
          <w:lang w:val="en-US"/>
        </w:rPr>
      </w:pPr>
      <w:r w:rsidRPr="00C17D1B">
        <w:rPr>
          <w:sz w:val="28"/>
          <w:szCs w:val="28"/>
          <w:lang w:val="en-US"/>
        </w:rPr>
        <w:t>The main indicators of the insurance market and its dynamics</w:t>
      </w:r>
    </w:p>
    <w:p w:rsidR="00132B0E" w:rsidRPr="00C17D1B" w:rsidRDefault="00132B0E" w:rsidP="00224007">
      <w:pPr>
        <w:pStyle w:val="Default"/>
        <w:tabs>
          <w:tab w:val="left" w:pos="360"/>
        </w:tabs>
        <w:ind w:firstLine="720"/>
        <w:jc w:val="both"/>
        <w:rPr>
          <w:sz w:val="28"/>
          <w:szCs w:val="28"/>
          <w:lang w:val="en-US"/>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1260"/>
        <w:gridCol w:w="1260"/>
        <w:gridCol w:w="1260"/>
        <w:gridCol w:w="1080"/>
        <w:gridCol w:w="1080"/>
      </w:tblGrid>
      <w:tr w:rsidR="00132B0E" w:rsidRPr="0072251B">
        <w:trPr>
          <w:trHeight w:val="452"/>
        </w:trPr>
        <w:tc>
          <w:tcPr>
            <w:tcW w:w="3975" w:type="dxa"/>
            <w:vMerge w:val="restart"/>
            <w:vAlign w:val="bottom"/>
          </w:tcPr>
          <w:p w:rsidR="00132B0E" w:rsidRPr="0072251B" w:rsidRDefault="00132B0E" w:rsidP="0003233E">
            <w:pPr>
              <w:rPr>
                <w:lang w:val="uk-UA"/>
              </w:rPr>
            </w:pPr>
            <w:bookmarkStart w:id="0" w:name="OLE_LINK6"/>
          </w:p>
        </w:tc>
        <w:tc>
          <w:tcPr>
            <w:tcW w:w="1260" w:type="dxa"/>
            <w:vMerge w:val="restart"/>
            <w:vAlign w:val="center"/>
          </w:tcPr>
          <w:p w:rsidR="00132B0E" w:rsidRPr="0072251B" w:rsidRDefault="00132B0E" w:rsidP="00CE51E9">
            <w:pPr>
              <w:jc w:val="center"/>
              <w:rPr>
                <w:b/>
                <w:bCs/>
                <w:lang w:val="uk-UA"/>
              </w:rPr>
            </w:pPr>
            <w:r w:rsidRPr="0072251B">
              <w:rPr>
                <w:b/>
                <w:bCs/>
                <w:sz w:val="22"/>
                <w:szCs w:val="22"/>
                <w:lang w:val="uk-UA"/>
              </w:rPr>
              <w:t>2016</w:t>
            </w:r>
          </w:p>
        </w:tc>
        <w:tc>
          <w:tcPr>
            <w:tcW w:w="1260" w:type="dxa"/>
            <w:vMerge w:val="restart"/>
            <w:vAlign w:val="center"/>
          </w:tcPr>
          <w:p w:rsidR="00132B0E" w:rsidRPr="0072251B" w:rsidRDefault="00132B0E" w:rsidP="00CE51E9">
            <w:pPr>
              <w:jc w:val="center"/>
              <w:rPr>
                <w:b/>
                <w:bCs/>
                <w:lang w:val="uk-UA"/>
              </w:rPr>
            </w:pPr>
            <w:r w:rsidRPr="0072251B">
              <w:rPr>
                <w:b/>
                <w:bCs/>
                <w:sz w:val="22"/>
                <w:szCs w:val="22"/>
                <w:lang w:val="uk-UA"/>
              </w:rPr>
              <w:t>2017</w:t>
            </w:r>
          </w:p>
        </w:tc>
        <w:tc>
          <w:tcPr>
            <w:tcW w:w="1260" w:type="dxa"/>
            <w:vMerge w:val="restart"/>
            <w:vAlign w:val="center"/>
          </w:tcPr>
          <w:p w:rsidR="00132B0E" w:rsidRPr="0072251B" w:rsidRDefault="00132B0E" w:rsidP="00DD1ED8">
            <w:pPr>
              <w:jc w:val="center"/>
              <w:rPr>
                <w:b/>
                <w:bCs/>
                <w:lang w:val="uk-UA"/>
              </w:rPr>
            </w:pPr>
            <w:r w:rsidRPr="0072251B">
              <w:rPr>
                <w:b/>
                <w:bCs/>
                <w:sz w:val="22"/>
                <w:szCs w:val="22"/>
                <w:lang w:val="uk-UA"/>
              </w:rPr>
              <w:t>2018</w:t>
            </w:r>
          </w:p>
        </w:tc>
        <w:tc>
          <w:tcPr>
            <w:tcW w:w="2160" w:type="dxa"/>
            <w:gridSpan w:val="2"/>
            <w:vAlign w:val="center"/>
          </w:tcPr>
          <w:p w:rsidR="00132B0E" w:rsidRPr="0072251B" w:rsidRDefault="00C17D1B" w:rsidP="0003233E">
            <w:pPr>
              <w:ind w:left="-113" w:right="-113"/>
              <w:jc w:val="center"/>
              <w:rPr>
                <w:b/>
                <w:bCs/>
                <w:lang w:val="uk-UA"/>
              </w:rPr>
            </w:pPr>
            <w:r w:rsidRPr="00C17D1B">
              <w:rPr>
                <w:b/>
                <w:bCs/>
                <w:sz w:val="22"/>
                <w:szCs w:val="22"/>
                <w:lang w:val="uk-UA"/>
              </w:rPr>
              <w:t>Growth rates</w:t>
            </w:r>
            <w:r w:rsidR="0003233E">
              <w:rPr>
                <w:b/>
                <w:bCs/>
                <w:sz w:val="22"/>
                <w:szCs w:val="22"/>
                <w:lang w:val="uk-UA"/>
              </w:rPr>
              <w:t>, %</w:t>
            </w:r>
          </w:p>
        </w:tc>
      </w:tr>
      <w:tr w:rsidR="0003233E" w:rsidRPr="0072251B" w:rsidTr="0003233E">
        <w:trPr>
          <w:trHeight w:val="20"/>
        </w:trPr>
        <w:tc>
          <w:tcPr>
            <w:tcW w:w="3975" w:type="dxa"/>
            <w:vMerge/>
            <w:vAlign w:val="bottom"/>
          </w:tcPr>
          <w:p w:rsidR="0003233E" w:rsidRPr="0072251B" w:rsidRDefault="0003233E" w:rsidP="00501F40">
            <w:pPr>
              <w:jc w:val="center"/>
              <w:rPr>
                <w:lang w:val="uk-UA"/>
              </w:rPr>
            </w:pPr>
          </w:p>
        </w:tc>
        <w:tc>
          <w:tcPr>
            <w:tcW w:w="1260" w:type="dxa"/>
            <w:vMerge/>
            <w:vAlign w:val="center"/>
          </w:tcPr>
          <w:p w:rsidR="0003233E" w:rsidRPr="0072251B" w:rsidRDefault="0003233E" w:rsidP="00501F40">
            <w:pPr>
              <w:jc w:val="center"/>
              <w:rPr>
                <w:b/>
                <w:bCs/>
                <w:lang w:val="uk-UA"/>
              </w:rPr>
            </w:pPr>
          </w:p>
        </w:tc>
        <w:tc>
          <w:tcPr>
            <w:tcW w:w="1260" w:type="dxa"/>
            <w:vMerge/>
            <w:vAlign w:val="center"/>
          </w:tcPr>
          <w:p w:rsidR="0003233E" w:rsidRPr="0072251B" w:rsidRDefault="0003233E" w:rsidP="00501F40">
            <w:pPr>
              <w:jc w:val="center"/>
              <w:rPr>
                <w:b/>
                <w:bCs/>
                <w:lang w:val="uk-UA"/>
              </w:rPr>
            </w:pPr>
          </w:p>
        </w:tc>
        <w:tc>
          <w:tcPr>
            <w:tcW w:w="1260" w:type="dxa"/>
            <w:vMerge/>
            <w:vAlign w:val="center"/>
          </w:tcPr>
          <w:p w:rsidR="0003233E" w:rsidRPr="0072251B" w:rsidRDefault="0003233E" w:rsidP="00501F40">
            <w:pPr>
              <w:jc w:val="center"/>
              <w:rPr>
                <w:b/>
                <w:bCs/>
                <w:lang w:val="uk-UA"/>
              </w:rPr>
            </w:pPr>
          </w:p>
        </w:tc>
        <w:tc>
          <w:tcPr>
            <w:tcW w:w="1080" w:type="dxa"/>
            <w:vAlign w:val="center"/>
          </w:tcPr>
          <w:p w:rsidR="0003233E" w:rsidRPr="0072251B" w:rsidRDefault="0003233E" w:rsidP="0003233E">
            <w:pPr>
              <w:ind w:left="-113" w:right="-113"/>
              <w:jc w:val="center"/>
              <w:rPr>
                <w:b/>
                <w:bCs/>
                <w:lang w:val="uk-UA"/>
              </w:rPr>
            </w:pPr>
            <w:r w:rsidRPr="0072251B">
              <w:rPr>
                <w:b/>
                <w:bCs/>
                <w:sz w:val="22"/>
                <w:szCs w:val="22"/>
                <w:lang w:val="uk-UA"/>
              </w:rPr>
              <w:t>2017/ 2016</w:t>
            </w:r>
          </w:p>
        </w:tc>
        <w:tc>
          <w:tcPr>
            <w:tcW w:w="1080" w:type="dxa"/>
            <w:vAlign w:val="center"/>
          </w:tcPr>
          <w:p w:rsidR="0003233E" w:rsidRPr="0072251B" w:rsidRDefault="0003233E" w:rsidP="0003233E">
            <w:pPr>
              <w:ind w:left="-113" w:right="-113"/>
              <w:jc w:val="center"/>
              <w:rPr>
                <w:b/>
                <w:bCs/>
                <w:lang w:val="uk-UA"/>
              </w:rPr>
            </w:pPr>
            <w:r w:rsidRPr="0072251B">
              <w:rPr>
                <w:b/>
                <w:bCs/>
                <w:sz w:val="22"/>
                <w:szCs w:val="22"/>
                <w:lang w:val="uk-UA"/>
              </w:rPr>
              <w:t>2018/ 2017</w:t>
            </w:r>
          </w:p>
        </w:tc>
      </w:tr>
      <w:tr w:rsidR="00132B0E" w:rsidRPr="00911B49">
        <w:trPr>
          <w:trHeight w:val="300"/>
        </w:trPr>
        <w:tc>
          <w:tcPr>
            <w:tcW w:w="9915" w:type="dxa"/>
            <w:gridSpan w:val="6"/>
            <w:vAlign w:val="bottom"/>
          </w:tcPr>
          <w:p w:rsidR="00132B0E" w:rsidRPr="0072251B" w:rsidRDefault="00C17D1B" w:rsidP="00501F40">
            <w:pPr>
              <w:jc w:val="center"/>
              <w:rPr>
                <w:b/>
                <w:bCs/>
                <w:lang w:val="uk-UA"/>
              </w:rPr>
            </w:pPr>
            <w:r w:rsidRPr="00C17D1B">
              <w:rPr>
                <w:b/>
                <w:bCs/>
                <w:lang w:val="uk-UA"/>
              </w:rPr>
              <w:t>Number of insurance contracts entered into during the reporting period, thousand units</w:t>
            </w:r>
          </w:p>
        </w:tc>
      </w:tr>
      <w:tr w:rsidR="00132B0E" w:rsidRPr="0072251B">
        <w:trPr>
          <w:trHeight w:val="915"/>
        </w:trPr>
        <w:tc>
          <w:tcPr>
            <w:tcW w:w="3975" w:type="dxa"/>
            <w:vAlign w:val="bottom"/>
          </w:tcPr>
          <w:p w:rsidR="00132B0E" w:rsidRPr="0072251B" w:rsidRDefault="00C17D1B" w:rsidP="00501F40">
            <w:pPr>
              <w:rPr>
                <w:lang w:val="uk-UA"/>
              </w:rPr>
            </w:pPr>
            <w:r w:rsidRPr="00C17D1B">
              <w:rPr>
                <w:lang w:val="uk-UA"/>
              </w:rPr>
              <w:t>Number of contracts, except contracts for compulsory insurance against accidents in transport, including:</w:t>
            </w:r>
          </w:p>
        </w:tc>
        <w:tc>
          <w:tcPr>
            <w:tcW w:w="1260" w:type="dxa"/>
            <w:vAlign w:val="bottom"/>
          </w:tcPr>
          <w:p w:rsidR="00132B0E" w:rsidRPr="0072251B" w:rsidRDefault="00132B0E" w:rsidP="005B01E6">
            <w:pPr>
              <w:jc w:val="right"/>
              <w:rPr>
                <w:b/>
                <w:bCs/>
                <w:lang w:val="uk-UA"/>
              </w:rPr>
            </w:pPr>
            <w:r w:rsidRPr="0072251B">
              <w:rPr>
                <w:b/>
                <w:bCs/>
                <w:sz w:val="22"/>
                <w:szCs w:val="22"/>
                <w:lang w:val="uk-UA"/>
              </w:rPr>
              <w:t>61 272,8</w:t>
            </w:r>
          </w:p>
        </w:tc>
        <w:tc>
          <w:tcPr>
            <w:tcW w:w="1260" w:type="dxa"/>
            <w:vAlign w:val="bottom"/>
          </w:tcPr>
          <w:p w:rsidR="00132B0E" w:rsidRPr="0072251B" w:rsidRDefault="00132B0E" w:rsidP="005B01E6">
            <w:pPr>
              <w:jc w:val="right"/>
              <w:rPr>
                <w:b/>
                <w:bCs/>
                <w:lang w:val="uk-UA"/>
              </w:rPr>
            </w:pPr>
            <w:r w:rsidRPr="0072251B">
              <w:rPr>
                <w:b/>
                <w:bCs/>
                <w:sz w:val="22"/>
                <w:szCs w:val="22"/>
                <w:lang w:val="uk-UA"/>
              </w:rPr>
              <w:t>70 658,2</w:t>
            </w:r>
          </w:p>
        </w:tc>
        <w:tc>
          <w:tcPr>
            <w:tcW w:w="1260" w:type="dxa"/>
            <w:vAlign w:val="bottom"/>
          </w:tcPr>
          <w:p w:rsidR="00132B0E" w:rsidRPr="0072251B" w:rsidRDefault="00132B0E">
            <w:pPr>
              <w:jc w:val="right"/>
              <w:rPr>
                <w:b/>
                <w:bCs/>
                <w:lang w:val="uk-UA"/>
              </w:rPr>
            </w:pPr>
            <w:r w:rsidRPr="0072251B">
              <w:rPr>
                <w:b/>
                <w:bCs/>
                <w:sz w:val="22"/>
                <w:szCs w:val="22"/>
                <w:lang w:val="uk-UA"/>
              </w:rPr>
              <w:t>77 495,0</w:t>
            </w:r>
          </w:p>
        </w:tc>
        <w:tc>
          <w:tcPr>
            <w:tcW w:w="1080" w:type="dxa"/>
            <w:vAlign w:val="bottom"/>
          </w:tcPr>
          <w:p w:rsidR="00132B0E" w:rsidRPr="0072251B" w:rsidRDefault="00132B0E">
            <w:pPr>
              <w:jc w:val="right"/>
              <w:rPr>
                <w:b/>
                <w:bCs/>
                <w:lang w:val="uk-UA"/>
              </w:rPr>
            </w:pPr>
            <w:r w:rsidRPr="0072251B">
              <w:rPr>
                <w:b/>
                <w:bCs/>
                <w:sz w:val="22"/>
                <w:szCs w:val="22"/>
                <w:lang w:val="uk-UA"/>
              </w:rPr>
              <w:t>15,3</w:t>
            </w:r>
          </w:p>
        </w:tc>
        <w:tc>
          <w:tcPr>
            <w:tcW w:w="1080" w:type="dxa"/>
            <w:vAlign w:val="bottom"/>
          </w:tcPr>
          <w:p w:rsidR="00132B0E" w:rsidRPr="0072251B" w:rsidRDefault="00132B0E">
            <w:pPr>
              <w:jc w:val="right"/>
              <w:rPr>
                <w:b/>
                <w:bCs/>
                <w:lang w:val="uk-UA"/>
              </w:rPr>
            </w:pPr>
            <w:r w:rsidRPr="0072251B">
              <w:rPr>
                <w:b/>
                <w:bCs/>
                <w:sz w:val="22"/>
                <w:szCs w:val="22"/>
                <w:lang w:val="uk-UA"/>
              </w:rPr>
              <w:t>9,7</w:t>
            </w:r>
          </w:p>
        </w:tc>
      </w:tr>
      <w:tr w:rsidR="00132B0E" w:rsidRPr="0072251B">
        <w:trPr>
          <w:trHeight w:val="315"/>
        </w:trPr>
        <w:tc>
          <w:tcPr>
            <w:tcW w:w="3975" w:type="dxa"/>
            <w:vAlign w:val="bottom"/>
          </w:tcPr>
          <w:p w:rsidR="00132B0E" w:rsidRPr="0072251B" w:rsidRDefault="00C17D1B" w:rsidP="00501F40">
            <w:pPr>
              <w:rPr>
                <w:lang w:val="uk-UA"/>
              </w:rPr>
            </w:pPr>
            <w:r w:rsidRPr="00C17D1B">
              <w:rPr>
                <w:lang w:val="uk-UA"/>
              </w:rPr>
              <w:t>- with insured individuals</w:t>
            </w:r>
          </w:p>
        </w:tc>
        <w:tc>
          <w:tcPr>
            <w:tcW w:w="1260" w:type="dxa"/>
            <w:vAlign w:val="bottom"/>
          </w:tcPr>
          <w:p w:rsidR="00132B0E" w:rsidRPr="0072251B" w:rsidRDefault="00132B0E" w:rsidP="005B01E6">
            <w:pPr>
              <w:jc w:val="right"/>
              <w:rPr>
                <w:b/>
                <w:bCs/>
                <w:lang w:val="uk-UA"/>
              </w:rPr>
            </w:pPr>
            <w:r w:rsidRPr="0072251B">
              <w:rPr>
                <w:b/>
                <w:bCs/>
                <w:sz w:val="22"/>
                <w:szCs w:val="22"/>
                <w:lang w:val="uk-UA"/>
              </w:rPr>
              <w:t>42 534,6</w:t>
            </w:r>
          </w:p>
        </w:tc>
        <w:tc>
          <w:tcPr>
            <w:tcW w:w="1260" w:type="dxa"/>
            <w:vAlign w:val="bottom"/>
          </w:tcPr>
          <w:p w:rsidR="00132B0E" w:rsidRPr="0072251B" w:rsidRDefault="00132B0E" w:rsidP="005B01E6">
            <w:pPr>
              <w:jc w:val="right"/>
              <w:rPr>
                <w:b/>
                <w:bCs/>
                <w:lang w:val="uk-UA"/>
              </w:rPr>
            </w:pPr>
            <w:r w:rsidRPr="0072251B">
              <w:rPr>
                <w:b/>
                <w:bCs/>
                <w:sz w:val="22"/>
                <w:szCs w:val="22"/>
                <w:lang w:val="uk-UA"/>
              </w:rPr>
              <w:t>66 915,2</w:t>
            </w:r>
          </w:p>
        </w:tc>
        <w:tc>
          <w:tcPr>
            <w:tcW w:w="1260" w:type="dxa"/>
            <w:vAlign w:val="bottom"/>
          </w:tcPr>
          <w:p w:rsidR="00132B0E" w:rsidRPr="0072251B" w:rsidRDefault="00132B0E">
            <w:pPr>
              <w:jc w:val="right"/>
              <w:rPr>
                <w:b/>
                <w:bCs/>
                <w:lang w:val="uk-UA"/>
              </w:rPr>
            </w:pPr>
            <w:r w:rsidRPr="0072251B">
              <w:rPr>
                <w:b/>
                <w:bCs/>
                <w:sz w:val="22"/>
                <w:szCs w:val="22"/>
                <w:lang w:val="uk-UA"/>
              </w:rPr>
              <w:t>72 460,2</w:t>
            </w:r>
          </w:p>
        </w:tc>
        <w:tc>
          <w:tcPr>
            <w:tcW w:w="1080" w:type="dxa"/>
            <w:vAlign w:val="bottom"/>
          </w:tcPr>
          <w:p w:rsidR="00132B0E" w:rsidRPr="0072251B" w:rsidRDefault="00132B0E">
            <w:pPr>
              <w:jc w:val="right"/>
              <w:rPr>
                <w:b/>
                <w:bCs/>
                <w:lang w:val="uk-UA"/>
              </w:rPr>
            </w:pPr>
            <w:r w:rsidRPr="0072251B">
              <w:rPr>
                <w:b/>
                <w:bCs/>
                <w:sz w:val="22"/>
                <w:szCs w:val="22"/>
                <w:lang w:val="uk-UA"/>
              </w:rPr>
              <w:t>57,3</w:t>
            </w:r>
          </w:p>
        </w:tc>
        <w:tc>
          <w:tcPr>
            <w:tcW w:w="1080" w:type="dxa"/>
            <w:vAlign w:val="bottom"/>
          </w:tcPr>
          <w:p w:rsidR="00132B0E" w:rsidRPr="0072251B" w:rsidRDefault="00132B0E">
            <w:pPr>
              <w:jc w:val="right"/>
              <w:rPr>
                <w:b/>
                <w:bCs/>
                <w:lang w:val="uk-UA"/>
              </w:rPr>
            </w:pPr>
            <w:r w:rsidRPr="0072251B">
              <w:rPr>
                <w:b/>
                <w:bCs/>
                <w:sz w:val="22"/>
                <w:szCs w:val="22"/>
                <w:lang w:val="uk-UA"/>
              </w:rPr>
              <w:t>8,3</w:t>
            </w:r>
          </w:p>
        </w:tc>
      </w:tr>
      <w:tr w:rsidR="00132B0E" w:rsidRPr="0072251B">
        <w:trPr>
          <w:trHeight w:val="792"/>
        </w:trPr>
        <w:tc>
          <w:tcPr>
            <w:tcW w:w="3975" w:type="dxa"/>
            <w:vAlign w:val="bottom"/>
          </w:tcPr>
          <w:p w:rsidR="00132B0E" w:rsidRPr="0072251B" w:rsidRDefault="00C17D1B" w:rsidP="00501F40">
            <w:pPr>
              <w:rPr>
                <w:lang w:val="uk-UA"/>
              </w:rPr>
            </w:pPr>
            <w:r w:rsidRPr="00C17D1B">
              <w:rPr>
                <w:lang w:val="uk-UA"/>
              </w:rPr>
              <w:t>The number of contracts for compulsory personal insurance against accidents in transport</w:t>
            </w:r>
          </w:p>
        </w:tc>
        <w:tc>
          <w:tcPr>
            <w:tcW w:w="1260" w:type="dxa"/>
            <w:vAlign w:val="bottom"/>
          </w:tcPr>
          <w:p w:rsidR="00132B0E" w:rsidRPr="0072251B" w:rsidRDefault="00132B0E" w:rsidP="005B01E6">
            <w:pPr>
              <w:jc w:val="right"/>
              <w:rPr>
                <w:b/>
                <w:bCs/>
                <w:lang w:val="uk-UA"/>
              </w:rPr>
            </w:pPr>
            <w:r w:rsidRPr="0072251B">
              <w:rPr>
                <w:b/>
                <w:bCs/>
                <w:sz w:val="22"/>
                <w:szCs w:val="22"/>
                <w:lang w:val="uk-UA"/>
              </w:rPr>
              <w:t>118 198,4</w:t>
            </w:r>
          </w:p>
        </w:tc>
        <w:tc>
          <w:tcPr>
            <w:tcW w:w="1260" w:type="dxa"/>
            <w:vAlign w:val="bottom"/>
          </w:tcPr>
          <w:p w:rsidR="00132B0E" w:rsidRPr="0072251B" w:rsidRDefault="00132B0E" w:rsidP="005B01E6">
            <w:pPr>
              <w:jc w:val="right"/>
              <w:rPr>
                <w:b/>
                <w:bCs/>
                <w:lang w:val="uk-UA"/>
              </w:rPr>
            </w:pPr>
            <w:r w:rsidRPr="0072251B">
              <w:rPr>
                <w:b/>
                <w:bCs/>
                <w:sz w:val="22"/>
                <w:szCs w:val="22"/>
                <w:lang w:val="uk-UA"/>
              </w:rPr>
              <w:t>114 824,7</w:t>
            </w:r>
          </w:p>
        </w:tc>
        <w:tc>
          <w:tcPr>
            <w:tcW w:w="1260" w:type="dxa"/>
            <w:vAlign w:val="bottom"/>
          </w:tcPr>
          <w:p w:rsidR="00132B0E" w:rsidRPr="0072251B" w:rsidRDefault="00132B0E">
            <w:pPr>
              <w:jc w:val="right"/>
              <w:rPr>
                <w:b/>
                <w:bCs/>
                <w:lang w:val="uk-UA"/>
              </w:rPr>
            </w:pPr>
            <w:r w:rsidRPr="0072251B">
              <w:rPr>
                <w:b/>
                <w:bCs/>
                <w:sz w:val="22"/>
                <w:szCs w:val="22"/>
                <w:lang w:val="uk-UA"/>
              </w:rPr>
              <w:t>123 582,5</w:t>
            </w:r>
          </w:p>
        </w:tc>
        <w:tc>
          <w:tcPr>
            <w:tcW w:w="1080" w:type="dxa"/>
            <w:vAlign w:val="bottom"/>
          </w:tcPr>
          <w:p w:rsidR="00132B0E" w:rsidRPr="0072251B" w:rsidRDefault="00132B0E">
            <w:pPr>
              <w:jc w:val="right"/>
              <w:rPr>
                <w:b/>
                <w:bCs/>
                <w:lang w:val="uk-UA"/>
              </w:rPr>
            </w:pPr>
            <w:r w:rsidRPr="0072251B">
              <w:rPr>
                <w:b/>
                <w:bCs/>
                <w:sz w:val="22"/>
                <w:szCs w:val="22"/>
                <w:lang w:val="uk-UA"/>
              </w:rPr>
              <w:t>-2,9</w:t>
            </w:r>
          </w:p>
        </w:tc>
        <w:tc>
          <w:tcPr>
            <w:tcW w:w="1080" w:type="dxa"/>
            <w:vAlign w:val="bottom"/>
          </w:tcPr>
          <w:p w:rsidR="00132B0E" w:rsidRPr="0072251B" w:rsidRDefault="00132B0E">
            <w:pPr>
              <w:jc w:val="right"/>
              <w:rPr>
                <w:b/>
                <w:bCs/>
                <w:lang w:val="uk-UA"/>
              </w:rPr>
            </w:pPr>
            <w:r w:rsidRPr="0072251B">
              <w:rPr>
                <w:b/>
                <w:bCs/>
                <w:sz w:val="22"/>
                <w:szCs w:val="22"/>
                <w:lang w:val="uk-UA"/>
              </w:rPr>
              <w:t>7,6</w:t>
            </w:r>
          </w:p>
        </w:tc>
      </w:tr>
      <w:tr w:rsidR="00132B0E" w:rsidRPr="0072251B">
        <w:trPr>
          <w:trHeight w:val="162"/>
        </w:trPr>
        <w:tc>
          <w:tcPr>
            <w:tcW w:w="9915" w:type="dxa"/>
            <w:gridSpan w:val="6"/>
            <w:vAlign w:val="bottom"/>
          </w:tcPr>
          <w:p w:rsidR="00132B0E" w:rsidRPr="0072251B" w:rsidRDefault="0013099B" w:rsidP="00501F40">
            <w:pPr>
              <w:jc w:val="center"/>
              <w:rPr>
                <w:b/>
                <w:bCs/>
                <w:lang w:val="uk-UA"/>
              </w:rPr>
            </w:pPr>
            <w:r>
              <w:rPr>
                <w:b/>
                <w:bCs/>
                <w:lang w:val="uk-UA"/>
              </w:rPr>
              <w:t>Insurance activity, m</w:t>
            </w:r>
            <w:r>
              <w:rPr>
                <w:b/>
                <w:bCs/>
                <w:lang w:val="en-US"/>
              </w:rPr>
              <w:t>illion</w:t>
            </w:r>
            <w:r w:rsidR="00C17D1B" w:rsidRPr="00C17D1B">
              <w:rPr>
                <w:b/>
                <w:bCs/>
                <w:lang w:val="uk-UA"/>
              </w:rPr>
              <w:t xml:space="preserve"> UAH</w:t>
            </w:r>
          </w:p>
        </w:tc>
      </w:tr>
      <w:tr w:rsidR="00132B0E" w:rsidRPr="0072251B">
        <w:trPr>
          <w:trHeight w:val="241"/>
        </w:trPr>
        <w:tc>
          <w:tcPr>
            <w:tcW w:w="3975" w:type="dxa"/>
            <w:vAlign w:val="bottom"/>
          </w:tcPr>
          <w:p w:rsidR="00132B0E" w:rsidRPr="00C17D1B" w:rsidRDefault="00C17D1B" w:rsidP="00C465F2">
            <w:pPr>
              <w:rPr>
                <w:lang w:val="en-US"/>
              </w:rPr>
            </w:pPr>
            <w:r w:rsidRPr="00C17D1B">
              <w:rPr>
                <w:lang w:val="en-US"/>
              </w:rPr>
              <w:t>Gross insurance premiums,</w:t>
            </w:r>
            <w:r>
              <w:rPr>
                <w:lang w:val="en-US"/>
              </w:rPr>
              <w:t xml:space="preserve"> including:</w:t>
            </w:r>
          </w:p>
        </w:tc>
        <w:tc>
          <w:tcPr>
            <w:tcW w:w="1260" w:type="dxa"/>
            <w:vAlign w:val="bottom"/>
          </w:tcPr>
          <w:p w:rsidR="00132B0E" w:rsidRPr="0072251B" w:rsidRDefault="00132B0E" w:rsidP="005B01E6">
            <w:pPr>
              <w:jc w:val="right"/>
              <w:rPr>
                <w:b/>
                <w:bCs/>
                <w:lang w:val="uk-UA"/>
              </w:rPr>
            </w:pPr>
            <w:r w:rsidRPr="0072251B">
              <w:rPr>
                <w:b/>
                <w:bCs/>
                <w:sz w:val="22"/>
                <w:szCs w:val="22"/>
                <w:lang w:val="uk-UA"/>
              </w:rPr>
              <w:t>35 170,3</w:t>
            </w:r>
          </w:p>
        </w:tc>
        <w:tc>
          <w:tcPr>
            <w:tcW w:w="1260" w:type="dxa"/>
            <w:vAlign w:val="bottom"/>
          </w:tcPr>
          <w:p w:rsidR="00132B0E" w:rsidRPr="0072251B" w:rsidRDefault="00132B0E" w:rsidP="005B01E6">
            <w:pPr>
              <w:jc w:val="right"/>
              <w:rPr>
                <w:b/>
                <w:bCs/>
                <w:lang w:val="uk-UA"/>
              </w:rPr>
            </w:pPr>
            <w:r w:rsidRPr="0072251B">
              <w:rPr>
                <w:b/>
                <w:bCs/>
                <w:sz w:val="22"/>
                <w:szCs w:val="22"/>
                <w:lang w:val="uk-UA"/>
              </w:rPr>
              <w:t>43 431,8</w:t>
            </w:r>
          </w:p>
        </w:tc>
        <w:tc>
          <w:tcPr>
            <w:tcW w:w="1260" w:type="dxa"/>
            <w:noWrap/>
            <w:vAlign w:val="bottom"/>
          </w:tcPr>
          <w:p w:rsidR="00132B0E" w:rsidRPr="0072251B" w:rsidRDefault="00132B0E">
            <w:pPr>
              <w:jc w:val="right"/>
              <w:rPr>
                <w:b/>
                <w:bCs/>
                <w:lang w:val="uk-UA"/>
              </w:rPr>
            </w:pPr>
            <w:r w:rsidRPr="0072251B">
              <w:rPr>
                <w:b/>
                <w:bCs/>
                <w:sz w:val="22"/>
                <w:szCs w:val="22"/>
                <w:lang w:val="uk-UA"/>
              </w:rPr>
              <w:t>49 367,5</w:t>
            </w:r>
          </w:p>
        </w:tc>
        <w:tc>
          <w:tcPr>
            <w:tcW w:w="1080" w:type="dxa"/>
            <w:vAlign w:val="bottom"/>
          </w:tcPr>
          <w:p w:rsidR="00132B0E" w:rsidRPr="0072251B" w:rsidRDefault="00132B0E">
            <w:pPr>
              <w:jc w:val="right"/>
              <w:rPr>
                <w:b/>
                <w:bCs/>
                <w:lang w:val="uk-UA"/>
              </w:rPr>
            </w:pPr>
            <w:r w:rsidRPr="0072251B">
              <w:rPr>
                <w:b/>
                <w:bCs/>
                <w:sz w:val="22"/>
                <w:szCs w:val="22"/>
                <w:lang w:val="uk-UA"/>
              </w:rPr>
              <w:t>23,5</w:t>
            </w:r>
          </w:p>
        </w:tc>
        <w:tc>
          <w:tcPr>
            <w:tcW w:w="1080" w:type="dxa"/>
            <w:vAlign w:val="bottom"/>
          </w:tcPr>
          <w:p w:rsidR="00132B0E" w:rsidRPr="0072251B" w:rsidRDefault="00132B0E">
            <w:pPr>
              <w:jc w:val="right"/>
              <w:rPr>
                <w:b/>
                <w:bCs/>
                <w:lang w:val="uk-UA"/>
              </w:rPr>
            </w:pPr>
            <w:r w:rsidRPr="0072251B">
              <w:rPr>
                <w:b/>
                <w:bCs/>
                <w:sz w:val="22"/>
                <w:szCs w:val="22"/>
                <w:lang w:val="uk-UA"/>
              </w:rPr>
              <w:t>13,7</w:t>
            </w:r>
          </w:p>
        </w:tc>
      </w:tr>
      <w:tr w:rsidR="00132B0E" w:rsidRPr="0072251B">
        <w:trPr>
          <w:trHeight w:val="86"/>
        </w:trPr>
        <w:tc>
          <w:tcPr>
            <w:tcW w:w="3975" w:type="dxa"/>
            <w:vAlign w:val="bottom"/>
          </w:tcPr>
          <w:p w:rsidR="00132B0E" w:rsidRPr="0072251B" w:rsidRDefault="00132B0E" w:rsidP="00C17D1B">
            <w:pPr>
              <w:rPr>
                <w:lang w:val="uk-UA"/>
              </w:rPr>
            </w:pPr>
            <w:r w:rsidRPr="0072251B">
              <w:rPr>
                <w:sz w:val="22"/>
                <w:szCs w:val="22"/>
                <w:lang w:val="uk-UA"/>
              </w:rPr>
              <w:t xml:space="preserve">    </w:t>
            </w:r>
            <w:r w:rsidR="00C17D1B" w:rsidRPr="00C17D1B">
              <w:rPr>
                <w:sz w:val="22"/>
                <w:szCs w:val="22"/>
                <w:lang w:val="uk-UA"/>
              </w:rPr>
              <w:t>life insurance</w:t>
            </w:r>
          </w:p>
        </w:tc>
        <w:tc>
          <w:tcPr>
            <w:tcW w:w="1260" w:type="dxa"/>
            <w:vAlign w:val="bottom"/>
          </w:tcPr>
          <w:p w:rsidR="00132B0E" w:rsidRPr="0072251B" w:rsidRDefault="00132B0E" w:rsidP="005B01E6">
            <w:pPr>
              <w:jc w:val="right"/>
              <w:rPr>
                <w:b/>
                <w:bCs/>
                <w:lang w:val="uk-UA"/>
              </w:rPr>
            </w:pPr>
            <w:r w:rsidRPr="0072251B">
              <w:rPr>
                <w:b/>
                <w:bCs/>
                <w:sz w:val="22"/>
                <w:szCs w:val="22"/>
                <w:lang w:val="uk-UA"/>
              </w:rPr>
              <w:t>2 756,1</w:t>
            </w:r>
          </w:p>
        </w:tc>
        <w:tc>
          <w:tcPr>
            <w:tcW w:w="1260" w:type="dxa"/>
            <w:vAlign w:val="bottom"/>
          </w:tcPr>
          <w:p w:rsidR="00132B0E" w:rsidRPr="0072251B" w:rsidRDefault="00132B0E" w:rsidP="005B01E6">
            <w:pPr>
              <w:jc w:val="right"/>
              <w:rPr>
                <w:b/>
                <w:bCs/>
                <w:lang w:val="uk-UA"/>
              </w:rPr>
            </w:pPr>
            <w:r w:rsidRPr="0072251B">
              <w:rPr>
                <w:b/>
                <w:bCs/>
                <w:sz w:val="22"/>
                <w:szCs w:val="22"/>
                <w:lang w:val="uk-UA"/>
              </w:rPr>
              <w:t>2 913,7</w:t>
            </w:r>
          </w:p>
        </w:tc>
        <w:tc>
          <w:tcPr>
            <w:tcW w:w="1260" w:type="dxa"/>
            <w:noWrap/>
            <w:vAlign w:val="bottom"/>
          </w:tcPr>
          <w:p w:rsidR="00132B0E" w:rsidRPr="0072251B" w:rsidRDefault="00132B0E">
            <w:pPr>
              <w:jc w:val="right"/>
              <w:rPr>
                <w:b/>
                <w:bCs/>
                <w:lang w:val="uk-UA"/>
              </w:rPr>
            </w:pPr>
            <w:r w:rsidRPr="0072251B">
              <w:rPr>
                <w:b/>
                <w:bCs/>
                <w:sz w:val="22"/>
                <w:szCs w:val="22"/>
                <w:lang w:val="uk-UA"/>
              </w:rPr>
              <w:t>3 906,1</w:t>
            </w:r>
          </w:p>
        </w:tc>
        <w:tc>
          <w:tcPr>
            <w:tcW w:w="1080" w:type="dxa"/>
            <w:vAlign w:val="bottom"/>
          </w:tcPr>
          <w:p w:rsidR="00132B0E" w:rsidRPr="0072251B" w:rsidRDefault="00132B0E">
            <w:pPr>
              <w:jc w:val="right"/>
              <w:rPr>
                <w:b/>
                <w:bCs/>
                <w:lang w:val="uk-UA"/>
              </w:rPr>
            </w:pPr>
            <w:r w:rsidRPr="0072251B">
              <w:rPr>
                <w:b/>
                <w:bCs/>
                <w:sz w:val="22"/>
                <w:szCs w:val="22"/>
                <w:lang w:val="uk-UA"/>
              </w:rPr>
              <w:t>5,7</w:t>
            </w:r>
          </w:p>
        </w:tc>
        <w:tc>
          <w:tcPr>
            <w:tcW w:w="1080" w:type="dxa"/>
            <w:vAlign w:val="bottom"/>
          </w:tcPr>
          <w:p w:rsidR="00132B0E" w:rsidRPr="0072251B" w:rsidRDefault="00132B0E">
            <w:pPr>
              <w:jc w:val="right"/>
              <w:rPr>
                <w:b/>
                <w:bCs/>
                <w:lang w:val="uk-UA"/>
              </w:rPr>
            </w:pPr>
            <w:r w:rsidRPr="0072251B">
              <w:rPr>
                <w:b/>
                <w:bCs/>
                <w:sz w:val="22"/>
                <w:szCs w:val="22"/>
                <w:lang w:val="uk-UA"/>
              </w:rPr>
              <w:t>34,1</w:t>
            </w:r>
          </w:p>
        </w:tc>
      </w:tr>
      <w:tr w:rsidR="00132B0E" w:rsidRPr="0072251B">
        <w:trPr>
          <w:trHeight w:val="86"/>
        </w:trPr>
        <w:tc>
          <w:tcPr>
            <w:tcW w:w="3975" w:type="dxa"/>
            <w:vAlign w:val="bottom"/>
          </w:tcPr>
          <w:p w:rsidR="00132B0E" w:rsidRPr="00C17D1B" w:rsidRDefault="00C17D1B" w:rsidP="00C17D1B">
            <w:pPr>
              <w:rPr>
                <w:lang w:val="en-US"/>
              </w:rPr>
            </w:pPr>
            <w:r>
              <w:rPr>
                <w:sz w:val="22"/>
                <w:szCs w:val="22"/>
                <w:lang w:val="en-US"/>
              </w:rPr>
              <w:t>Gross insurance premiums, including:</w:t>
            </w:r>
          </w:p>
        </w:tc>
        <w:tc>
          <w:tcPr>
            <w:tcW w:w="1260" w:type="dxa"/>
            <w:vAlign w:val="bottom"/>
          </w:tcPr>
          <w:p w:rsidR="00132B0E" w:rsidRPr="0072251B" w:rsidRDefault="00132B0E" w:rsidP="005B01E6">
            <w:pPr>
              <w:jc w:val="right"/>
              <w:rPr>
                <w:b/>
                <w:bCs/>
                <w:lang w:val="uk-UA"/>
              </w:rPr>
            </w:pPr>
            <w:r w:rsidRPr="0072251B">
              <w:rPr>
                <w:b/>
                <w:bCs/>
                <w:sz w:val="22"/>
                <w:szCs w:val="22"/>
                <w:lang w:val="uk-UA"/>
              </w:rPr>
              <w:t>8 839,5</w:t>
            </w:r>
          </w:p>
        </w:tc>
        <w:tc>
          <w:tcPr>
            <w:tcW w:w="1260" w:type="dxa"/>
            <w:vAlign w:val="bottom"/>
          </w:tcPr>
          <w:p w:rsidR="00132B0E" w:rsidRPr="0072251B" w:rsidRDefault="00132B0E" w:rsidP="005B01E6">
            <w:pPr>
              <w:jc w:val="right"/>
              <w:rPr>
                <w:b/>
                <w:bCs/>
                <w:lang w:val="uk-UA"/>
              </w:rPr>
            </w:pPr>
            <w:r w:rsidRPr="0072251B">
              <w:rPr>
                <w:b/>
                <w:bCs/>
                <w:sz w:val="22"/>
                <w:szCs w:val="22"/>
                <w:lang w:val="uk-UA"/>
              </w:rPr>
              <w:t>10 536,8</w:t>
            </w:r>
          </w:p>
        </w:tc>
        <w:tc>
          <w:tcPr>
            <w:tcW w:w="1260" w:type="dxa"/>
            <w:noWrap/>
            <w:vAlign w:val="bottom"/>
          </w:tcPr>
          <w:p w:rsidR="00132B0E" w:rsidRPr="0072251B" w:rsidRDefault="00132B0E">
            <w:pPr>
              <w:jc w:val="right"/>
              <w:rPr>
                <w:b/>
                <w:bCs/>
                <w:lang w:val="uk-UA"/>
              </w:rPr>
            </w:pPr>
            <w:r w:rsidRPr="0072251B">
              <w:rPr>
                <w:b/>
                <w:bCs/>
                <w:sz w:val="22"/>
                <w:szCs w:val="22"/>
                <w:lang w:val="uk-UA"/>
              </w:rPr>
              <w:t>12 863,4</w:t>
            </w:r>
          </w:p>
        </w:tc>
        <w:tc>
          <w:tcPr>
            <w:tcW w:w="1080" w:type="dxa"/>
            <w:vAlign w:val="bottom"/>
          </w:tcPr>
          <w:p w:rsidR="00132B0E" w:rsidRPr="0072251B" w:rsidRDefault="00132B0E">
            <w:pPr>
              <w:jc w:val="right"/>
              <w:rPr>
                <w:b/>
                <w:bCs/>
                <w:lang w:val="uk-UA"/>
              </w:rPr>
            </w:pPr>
            <w:r w:rsidRPr="0072251B">
              <w:rPr>
                <w:b/>
                <w:bCs/>
                <w:sz w:val="22"/>
                <w:szCs w:val="22"/>
                <w:lang w:val="uk-UA"/>
              </w:rPr>
              <w:t>19,2</w:t>
            </w:r>
          </w:p>
        </w:tc>
        <w:tc>
          <w:tcPr>
            <w:tcW w:w="1080" w:type="dxa"/>
            <w:vAlign w:val="bottom"/>
          </w:tcPr>
          <w:p w:rsidR="00132B0E" w:rsidRPr="0072251B" w:rsidRDefault="00132B0E">
            <w:pPr>
              <w:jc w:val="right"/>
              <w:rPr>
                <w:b/>
                <w:bCs/>
                <w:lang w:val="uk-UA"/>
              </w:rPr>
            </w:pPr>
            <w:r w:rsidRPr="0072251B">
              <w:rPr>
                <w:b/>
                <w:bCs/>
                <w:sz w:val="22"/>
                <w:szCs w:val="22"/>
                <w:lang w:val="uk-UA"/>
              </w:rPr>
              <w:t>22,1</w:t>
            </w:r>
          </w:p>
        </w:tc>
      </w:tr>
      <w:tr w:rsidR="00132B0E" w:rsidRPr="0072251B">
        <w:trPr>
          <w:trHeight w:val="109"/>
        </w:trPr>
        <w:tc>
          <w:tcPr>
            <w:tcW w:w="3975" w:type="dxa"/>
            <w:vAlign w:val="bottom"/>
          </w:tcPr>
          <w:p w:rsidR="00132B0E" w:rsidRPr="00C17D1B" w:rsidRDefault="00132B0E" w:rsidP="00C465F2">
            <w:pPr>
              <w:rPr>
                <w:lang w:val="en-US"/>
              </w:rPr>
            </w:pPr>
            <w:r w:rsidRPr="0072251B">
              <w:rPr>
                <w:sz w:val="22"/>
                <w:szCs w:val="22"/>
                <w:lang w:val="uk-UA"/>
              </w:rPr>
              <w:t xml:space="preserve">    </w:t>
            </w:r>
            <w:r w:rsidR="00C17D1B">
              <w:rPr>
                <w:sz w:val="22"/>
                <w:szCs w:val="22"/>
                <w:lang w:val="en-US"/>
              </w:rPr>
              <w:t>Life insurance</w:t>
            </w:r>
          </w:p>
        </w:tc>
        <w:tc>
          <w:tcPr>
            <w:tcW w:w="1260" w:type="dxa"/>
            <w:vAlign w:val="bottom"/>
          </w:tcPr>
          <w:p w:rsidR="00132B0E" w:rsidRPr="0072251B" w:rsidRDefault="00132B0E" w:rsidP="005B01E6">
            <w:pPr>
              <w:jc w:val="right"/>
              <w:rPr>
                <w:b/>
                <w:bCs/>
                <w:lang w:val="uk-UA"/>
              </w:rPr>
            </w:pPr>
            <w:r w:rsidRPr="0072251B">
              <w:rPr>
                <w:b/>
                <w:bCs/>
                <w:sz w:val="22"/>
                <w:szCs w:val="22"/>
                <w:lang w:val="uk-UA"/>
              </w:rPr>
              <w:t>418,3</w:t>
            </w:r>
          </w:p>
        </w:tc>
        <w:tc>
          <w:tcPr>
            <w:tcW w:w="1260" w:type="dxa"/>
            <w:vAlign w:val="bottom"/>
          </w:tcPr>
          <w:p w:rsidR="00132B0E" w:rsidRPr="0072251B" w:rsidRDefault="00132B0E" w:rsidP="005B01E6">
            <w:pPr>
              <w:jc w:val="right"/>
              <w:rPr>
                <w:b/>
                <w:bCs/>
                <w:lang w:val="uk-UA"/>
              </w:rPr>
            </w:pPr>
            <w:r w:rsidRPr="0072251B">
              <w:rPr>
                <w:b/>
                <w:bCs/>
                <w:sz w:val="22"/>
                <w:szCs w:val="22"/>
                <w:lang w:val="uk-UA"/>
              </w:rPr>
              <w:t>556,3</w:t>
            </w:r>
          </w:p>
        </w:tc>
        <w:tc>
          <w:tcPr>
            <w:tcW w:w="1260" w:type="dxa"/>
            <w:vAlign w:val="bottom"/>
          </w:tcPr>
          <w:p w:rsidR="00132B0E" w:rsidRPr="0072251B" w:rsidRDefault="00132B0E">
            <w:pPr>
              <w:jc w:val="right"/>
              <w:rPr>
                <w:b/>
                <w:bCs/>
                <w:lang w:val="uk-UA"/>
              </w:rPr>
            </w:pPr>
            <w:r w:rsidRPr="0072251B">
              <w:rPr>
                <w:b/>
                <w:bCs/>
                <w:sz w:val="22"/>
                <w:szCs w:val="22"/>
                <w:lang w:val="uk-UA"/>
              </w:rPr>
              <w:t>704,9</w:t>
            </w:r>
          </w:p>
        </w:tc>
        <w:tc>
          <w:tcPr>
            <w:tcW w:w="1080" w:type="dxa"/>
            <w:vAlign w:val="bottom"/>
          </w:tcPr>
          <w:p w:rsidR="00132B0E" w:rsidRPr="0072251B" w:rsidRDefault="00132B0E">
            <w:pPr>
              <w:jc w:val="right"/>
              <w:rPr>
                <w:b/>
                <w:bCs/>
                <w:lang w:val="uk-UA"/>
              </w:rPr>
            </w:pPr>
            <w:r w:rsidRPr="0072251B">
              <w:rPr>
                <w:b/>
                <w:bCs/>
                <w:sz w:val="22"/>
                <w:szCs w:val="22"/>
                <w:lang w:val="uk-UA"/>
              </w:rPr>
              <w:t>33,0</w:t>
            </w:r>
          </w:p>
        </w:tc>
        <w:tc>
          <w:tcPr>
            <w:tcW w:w="1080" w:type="dxa"/>
            <w:vAlign w:val="bottom"/>
          </w:tcPr>
          <w:p w:rsidR="00132B0E" w:rsidRPr="0072251B" w:rsidRDefault="00132B0E">
            <w:pPr>
              <w:jc w:val="right"/>
              <w:rPr>
                <w:b/>
                <w:bCs/>
                <w:lang w:val="uk-UA"/>
              </w:rPr>
            </w:pPr>
            <w:r w:rsidRPr="0072251B">
              <w:rPr>
                <w:b/>
                <w:bCs/>
                <w:sz w:val="22"/>
                <w:szCs w:val="22"/>
                <w:lang w:val="uk-UA"/>
              </w:rPr>
              <w:t>26,7</w:t>
            </w:r>
          </w:p>
        </w:tc>
      </w:tr>
      <w:tr w:rsidR="00132B0E" w:rsidRPr="0072251B">
        <w:trPr>
          <w:trHeight w:val="109"/>
        </w:trPr>
        <w:tc>
          <w:tcPr>
            <w:tcW w:w="3975" w:type="dxa"/>
            <w:vAlign w:val="bottom"/>
          </w:tcPr>
          <w:p w:rsidR="00132B0E" w:rsidRPr="0072251B" w:rsidRDefault="00C17D1B" w:rsidP="00501F40">
            <w:pPr>
              <w:rPr>
                <w:lang w:val="uk-UA"/>
              </w:rPr>
            </w:pPr>
            <w:r>
              <w:rPr>
                <w:sz w:val="22"/>
                <w:szCs w:val="22"/>
                <w:lang w:val="en-US"/>
              </w:rPr>
              <w:t>Gross payments</w:t>
            </w:r>
            <w:r w:rsidR="00132B0E" w:rsidRPr="0072251B">
              <w:rPr>
                <w:sz w:val="22"/>
                <w:szCs w:val="22"/>
                <w:lang w:val="uk-UA"/>
              </w:rPr>
              <w:t>, %</w:t>
            </w:r>
          </w:p>
        </w:tc>
        <w:tc>
          <w:tcPr>
            <w:tcW w:w="1260" w:type="dxa"/>
            <w:vAlign w:val="bottom"/>
          </w:tcPr>
          <w:p w:rsidR="00132B0E" w:rsidRPr="0072251B" w:rsidRDefault="00132B0E" w:rsidP="005B01E6">
            <w:pPr>
              <w:jc w:val="right"/>
              <w:rPr>
                <w:b/>
                <w:bCs/>
                <w:lang w:val="uk-UA"/>
              </w:rPr>
            </w:pPr>
            <w:r w:rsidRPr="0072251B">
              <w:rPr>
                <w:b/>
                <w:bCs/>
                <w:sz w:val="22"/>
                <w:szCs w:val="22"/>
                <w:lang w:val="uk-UA"/>
              </w:rPr>
              <w:t>25,1%</w:t>
            </w:r>
          </w:p>
        </w:tc>
        <w:tc>
          <w:tcPr>
            <w:tcW w:w="1260" w:type="dxa"/>
            <w:vAlign w:val="bottom"/>
          </w:tcPr>
          <w:p w:rsidR="00132B0E" w:rsidRPr="0072251B" w:rsidRDefault="00132B0E" w:rsidP="005B01E6">
            <w:pPr>
              <w:jc w:val="right"/>
              <w:rPr>
                <w:b/>
                <w:bCs/>
                <w:lang w:val="uk-UA"/>
              </w:rPr>
            </w:pPr>
            <w:r w:rsidRPr="0072251B">
              <w:rPr>
                <w:b/>
                <w:bCs/>
                <w:sz w:val="22"/>
                <w:szCs w:val="22"/>
                <w:lang w:val="uk-UA"/>
              </w:rPr>
              <w:t>24,3%</w:t>
            </w:r>
          </w:p>
        </w:tc>
        <w:tc>
          <w:tcPr>
            <w:tcW w:w="1260" w:type="dxa"/>
            <w:vAlign w:val="bottom"/>
          </w:tcPr>
          <w:p w:rsidR="00132B0E" w:rsidRPr="0072251B" w:rsidRDefault="00132B0E">
            <w:pPr>
              <w:jc w:val="right"/>
              <w:rPr>
                <w:b/>
                <w:bCs/>
                <w:lang w:val="uk-UA"/>
              </w:rPr>
            </w:pPr>
            <w:r w:rsidRPr="0072251B">
              <w:rPr>
                <w:b/>
                <w:bCs/>
                <w:sz w:val="22"/>
                <w:szCs w:val="22"/>
                <w:lang w:val="uk-UA"/>
              </w:rPr>
              <w:t>26,1%</w:t>
            </w:r>
          </w:p>
        </w:tc>
        <w:tc>
          <w:tcPr>
            <w:tcW w:w="1080" w:type="dxa"/>
            <w:vAlign w:val="bottom"/>
          </w:tcPr>
          <w:p w:rsidR="00132B0E" w:rsidRPr="0072251B" w:rsidRDefault="00132B0E">
            <w:pPr>
              <w:jc w:val="right"/>
              <w:rPr>
                <w:b/>
                <w:bCs/>
                <w:lang w:val="uk-UA"/>
              </w:rPr>
            </w:pPr>
            <w:r w:rsidRPr="0072251B">
              <w:rPr>
                <w:b/>
                <w:bCs/>
                <w:sz w:val="22"/>
                <w:szCs w:val="22"/>
                <w:lang w:val="uk-UA"/>
              </w:rPr>
              <w:t xml:space="preserve"> -</w:t>
            </w:r>
          </w:p>
        </w:tc>
        <w:tc>
          <w:tcPr>
            <w:tcW w:w="1080" w:type="dxa"/>
            <w:vAlign w:val="bottom"/>
          </w:tcPr>
          <w:p w:rsidR="00132B0E" w:rsidRPr="0072251B" w:rsidRDefault="00132B0E">
            <w:pPr>
              <w:jc w:val="right"/>
              <w:rPr>
                <w:b/>
                <w:bCs/>
                <w:lang w:val="uk-UA"/>
              </w:rPr>
            </w:pPr>
            <w:r w:rsidRPr="0072251B">
              <w:rPr>
                <w:b/>
                <w:bCs/>
                <w:sz w:val="22"/>
                <w:szCs w:val="22"/>
                <w:lang w:val="uk-UA"/>
              </w:rPr>
              <w:t xml:space="preserve"> -</w:t>
            </w:r>
          </w:p>
        </w:tc>
      </w:tr>
      <w:tr w:rsidR="00132B0E" w:rsidRPr="0072251B">
        <w:trPr>
          <w:trHeight w:val="134"/>
        </w:trPr>
        <w:tc>
          <w:tcPr>
            <w:tcW w:w="3975" w:type="dxa"/>
            <w:vAlign w:val="bottom"/>
          </w:tcPr>
          <w:p w:rsidR="00132B0E" w:rsidRPr="0072251B" w:rsidRDefault="00C17D1B" w:rsidP="00C17D1B">
            <w:pPr>
              <w:rPr>
                <w:i/>
                <w:iCs/>
                <w:lang w:val="uk-UA"/>
              </w:rPr>
            </w:pPr>
            <w:r>
              <w:rPr>
                <w:i/>
                <w:iCs/>
                <w:sz w:val="22"/>
                <w:szCs w:val="22"/>
                <w:lang w:val="en-US"/>
              </w:rPr>
              <w:t>Net insurance premiums</w:t>
            </w:r>
          </w:p>
        </w:tc>
        <w:tc>
          <w:tcPr>
            <w:tcW w:w="1260" w:type="dxa"/>
            <w:vAlign w:val="bottom"/>
          </w:tcPr>
          <w:p w:rsidR="00132B0E" w:rsidRPr="0072251B" w:rsidRDefault="00132B0E" w:rsidP="005B01E6">
            <w:pPr>
              <w:jc w:val="right"/>
              <w:rPr>
                <w:b/>
                <w:bCs/>
                <w:lang w:val="uk-UA"/>
              </w:rPr>
            </w:pPr>
            <w:r w:rsidRPr="0072251B">
              <w:rPr>
                <w:b/>
                <w:bCs/>
                <w:sz w:val="22"/>
                <w:szCs w:val="22"/>
                <w:lang w:val="uk-UA"/>
              </w:rPr>
              <w:t>26 463,8</w:t>
            </w:r>
          </w:p>
        </w:tc>
        <w:tc>
          <w:tcPr>
            <w:tcW w:w="1260" w:type="dxa"/>
            <w:vAlign w:val="bottom"/>
          </w:tcPr>
          <w:p w:rsidR="00132B0E" w:rsidRPr="0072251B" w:rsidRDefault="00132B0E" w:rsidP="005B01E6">
            <w:pPr>
              <w:jc w:val="right"/>
              <w:rPr>
                <w:b/>
                <w:bCs/>
                <w:lang w:val="uk-UA"/>
              </w:rPr>
            </w:pPr>
            <w:r w:rsidRPr="0072251B">
              <w:rPr>
                <w:b/>
                <w:bCs/>
                <w:sz w:val="22"/>
                <w:szCs w:val="22"/>
                <w:lang w:val="uk-UA"/>
              </w:rPr>
              <w:t>28 494,4</w:t>
            </w:r>
          </w:p>
        </w:tc>
        <w:tc>
          <w:tcPr>
            <w:tcW w:w="1260" w:type="dxa"/>
            <w:vAlign w:val="bottom"/>
          </w:tcPr>
          <w:p w:rsidR="00132B0E" w:rsidRPr="0072251B" w:rsidRDefault="00132B0E">
            <w:pPr>
              <w:jc w:val="right"/>
              <w:rPr>
                <w:b/>
                <w:bCs/>
                <w:lang w:val="uk-UA"/>
              </w:rPr>
            </w:pPr>
            <w:r w:rsidRPr="0072251B">
              <w:rPr>
                <w:b/>
                <w:bCs/>
                <w:sz w:val="22"/>
                <w:szCs w:val="22"/>
                <w:lang w:val="uk-UA"/>
              </w:rPr>
              <w:t>34 424,3</w:t>
            </w:r>
          </w:p>
        </w:tc>
        <w:tc>
          <w:tcPr>
            <w:tcW w:w="1080" w:type="dxa"/>
            <w:vAlign w:val="bottom"/>
          </w:tcPr>
          <w:p w:rsidR="00132B0E" w:rsidRPr="0072251B" w:rsidRDefault="00132B0E">
            <w:pPr>
              <w:jc w:val="right"/>
              <w:rPr>
                <w:b/>
                <w:bCs/>
                <w:lang w:val="uk-UA"/>
              </w:rPr>
            </w:pPr>
            <w:r w:rsidRPr="0072251B">
              <w:rPr>
                <w:b/>
                <w:bCs/>
                <w:sz w:val="22"/>
                <w:szCs w:val="22"/>
                <w:lang w:val="uk-UA"/>
              </w:rPr>
              <w:t>7,7</w:t>
            </w:r>
          </w:p>
        </w:tc>
        <w:tc>
          <w:tcPr>
            <w:tcW w:w="1080" w:type="dxa"/>
            <w:vAlign w:val="bottom"/>
          </w:tcPr>
          <w:p w:rsidR="00132B0E" w:rsidRPr="0072251B" w:rsidRDefault="00132B0E">
            <w:pPr>
              <w:jc w:val="right"/>
              <w:rPr>
                <w:b/>
                <w:bCs/>
                <w:lang w:val="uk-UA"/>
              </w:rPr>
            </w:pPr>
            <w:r w:rsidRPr="0072251B">
              <w:rPr>
                <w:b/>
                <w:bCs/>
                <w:sz w:val="22"/>
                <w:szCs w:val="22"/>
                <w:lang w:val="uk-UA"/>
              </w:rPr>
              <w:t>20,8</w:t>
            </w:r>
          </w:p>
        </w:tc>
      </w:tr>
      <w:tr w:rsidR="00132B0E" w:rsidRPr="0072251B">
        <w:trPr>
          <w:trHeight w:val="158"/>
        </w:trPr>
        <w:tc>
          <w:tcPr>
            <w:tcW w:w="3975" w:type="dxa"/>
            <w:vAlign w:val="bottom"/>
          </w:tcPr>
          <w:p w:rsidR="00132B0E" w:rsidRPr="00C17D1B" w:rsidRDefault="00C17D1B" w:rsidP="00C17D1B">
            <w:pPr>
              <w:rPr>
                <w:i/>
                <w:iCs/>
                <w:lang w:val="en-US"/>
              </w:rPr>
            </w:pPr>
            <w:r>
              <w:rPr>
                <w:i/>
                <w:iCs/>
                <w:sz w:val="22"/>
                <w:szCs w:val="22"/>
                <w:lang w:val="en-US"/>
              </w:rPr>
              <w:t>Net insurance payments</w:t>
            </w:r>
            <w:r w:rsidR="00132B0E" w:rsidRPr="0072251B">
              <w:rPr>
                <w:i/>
                <w:iCs/>
                <w:sz w:val="22"/>
                <w:szCs w:val="22"/>
                <w:lang w:val="uk-UA"/>
              </w:rPr>
              <w:t xml:space="preserve"> </w:t>
            </w:r>
          </w:p>
        </w:tc>
        <w:tc>
          <w:tcPr>
            <w:tcW w:w="1260" w:type="dxa"/>
            <w:vAlign w:val="bottom"/>
          </w:tcPr>
          <w:p w:rsidR="00132B0E" w:rsidRPr="0072251B" w:rsidRDefault="00132B0E" w:rsidP="005B01E6">
            <w:pPr>
              <w:jc w:val="right"/>
              <w:rPr>
                <w:b/>
                <w:bCs/>
                <w:lang w:val="uk-UA"/>
              </w:rPr>
            </w:pPr>
            <w:r w:rsidRPr="0072251B">
              <w:rPr>
                <w:b/>
                <w:bCs/>
                <w:sz w:val="22"/>
                <w:szCs w:val="22"/>
                <w:lang w:val="uk-UA"/>
              </w:rPr>
              <w:t>8 561,0</w:t>
            </w:r>
          </w:p>
        </w:tc>
        <w:tc>
          <w:tcPr>
            <w:tcW w:w="1260" w:type="dxa"/>
            <w:vAlign w:val="bottom"/>
          </w:tcPr>
          <w:p w:rsidR="00132B0E" w:rsidRPr="0072251B" w:rsidRDefault="00132B0E" w:rsidP="005B01E6">
            <w:pPr>
              <w:jc w:val="right"/>
              <w:rPr>
                <w:b/>
                <w:bCs/>
                <w:lang w:val="uk-UA"/>
              </w:rPr>
            </w:pPr>
            <w:r w:rsidRPr="0072251B">
              <w:rPr>
                <w:b/>
                <w:bCs/>
                <w:sz w:val="22"/>
                <w:szCs w:val="22"/>
                <w:lang w:val="uk-UA"/>
              </w:rPr>
              <w:t>10 256,8</w:t>
            </w:r>
          </w:p>
        </w:tc>
        <w:tc>
          <w:tcPr>
            <w:tcW w:w="1260" w:type="dxa"/>
            <w:vAlign w:val="bottom"/>
          </w:tcPr>
          <w:p w:rsidR="00132B0E" w:rsidRPr="0072251B" w:rsidRDefault="00132B0E">
            <w:pPr>
              <w:jc w:val="right"/>
              <w:rPr>
                <w:b/>
                <w:bCs/>
                <w:lang w:val="uk-UA"/>
              </w:rPr>
            </w:pPr>
            <w:r w:rsidRPr="0072251B">
              <w:rPr>
                <w:b/>
                <w:bCs/>
                <w:sz w:val="22"/>
                <w:szCs w:val="22"/>
                <w:lang w:val="uk-UA"/>
              </w:rPr>
              <w:t>12 432,6</w:t>
            </w:r>
          </w:p>
        </w:tc>
        <w:tc>
          <w:tcPr>
            <w:tcW w:w="1080" w:type="dxa"/>
            <w:vAlign w:val="bottom"/>
          </w:tcPr>
          <w:p w:rsidR="00132B0E" w:rsidRPr="0072251B" w:rsidRDefault="00132B0E">
            <w:pPr>
              <w:jc w:val="right"/>
              <w:rPr>
                <w:b/>
                <w:bCs/>
                <w:lang w:val="uk-UA"/>
              </w:rPr>
            </w:pPr>
            <w:r w:rsidRPr="0072251B">
              <w:rPr>
                <w:b/>
                <w:bCs/>
                <w:sz w:val="22"/>
                <w:szCs w:val="22"/>
                <w:lang w:val="uk-UA"/>
              </w:rPr>
              <w:t>19,8</w:t>
            </w:r>
          </w:p>
        </w:tc>
        <w:tc>
          <w:tcPr>
            <w:tcW w:w="1080" w:type="dxa"/>
            <w:vAlign w:val="bottom"/>
          </w:tcPr>
          <w:p w:rsidR="00132B0E" w:rsidRPr="0072251B" w:rsidRDefault="00132B0E">
            <w:pPr>
              <w:jc w:val="right"/>
              <w:rPr>
                <w:b/>
                <w:bCs/>
                <w:lang w:val="uk-UA"/>
              </w:rPr>
            </w:pPr>
            <w:r w:rsidRPr="0072251B">
              <w:rPr>
                <w:b/>
                <w:bCs/>
                <w:sz w:val="22"/>
                <w:szCs w:val="22"/>
                <w:lang w:val="uk-UA"/>
              </w:rPr>
              <w:t>21,2</w:t>
            </w:r>
          </w:p>
        </w:tc>
      </w:tr>
      <w:tr w:rsidR="00132B0E" w:rsidRPr="0072251B">
        <w:trPr>
          <w:trHeight w:val="195"/>
        </w:trPr>
        <w:tc>
          <w:tcPr>
            <w:tcW w:w="3975" w:type="dxa"/>
            <w:vAlign w:val="bottom"/>
          </w:tcPr>
          <w:p w:rsidR="00132B0E" w:rsidRPr="0072251B" w:rsidRDefault="0013099B" w:rsidP="00501F40">
            <w:pPr>
              <w:rPr>
                <w:lang w:val="uk-UA"/>
              </w:rPr>
            </w:pPr>
            <w:r>
              <w:rPr>
                <w:sz w:val="22"/>
                <w:szCs w:val="22"/>
                <w:lang w:val="en-US"/>
              </w:rPr>
              <w:t>Level of net pa</w:t>
            </w:r>
            <w:r w:rsidR="00C17D1B">
              <w:rPr>
                <w:sz w:val="22"/>
                <w:szCs w:val="22"/>
                <w:lang w:val="en-US"/>
              </w:rPr>
              <w:t>yments</w:t>
            </w:r>
            <w:r w:rsidR="00132B0E" w:rsidRPr="0072251B">
              <w:rPr>
                <w:sz w:val="22"/>
                <w:szCs w:val="22"/>
                <w:lang w:val="uk-UA"/>
              </w:rPr>
              <w:t>, %</w:t>
            </w:r>
          </w:p>
        </w:tc>
        <w:tc>
          <w:tcPr>
            <w:tcW w:w="1260" w:type="dxa"/>
            <w:vAlign w:val="bottom"/>
          </w:tcPr>
          <w:p w:rsidR="00132B0E" w:rsidRPr="0072251B" w:rsidRDefault="00132B0E" w:rsidP="005B01E6">
            <w:pPr>
              <w:jc w:val="right"/>
              <w:rPr>
                <w:b/>
                <w:bCs/>
                <w:lang w:val="uk-UA"/>
              </w:rPr>
            </w:pPr>
            <w:r w:rsidRPr="0072251B">
              <w:rPr>
                <w:b/>
                <w:bCs/>
                <w:sz w:val="22"/>
                <w:szCs w:val="22"/>
                <w:lang w:val="uk-UA"/>
              </w:rPr>
              <w:t>32,3%</w:t>
            </w:r>
          </w:p>
        </w:tc>
        <w:tc>
          <w:tcPr>
            <w:tcW w:w="1260" w:type="dxa"/>
            <w:vAlign w:val="bottom"/>
          </w:tcPr>
          <w:p w:rsidR="00132B0E" w:rsidRPr="0072251B" w:rsidRDefault="00132B0E" w:rsidP="005B01E6">
            <w:pPr>
              <w:jc w:val="right"/>
              <w:rPr>
                <w:b/>
                <w:bCs/>
                <w:lang w:val="uk-UA"/>
              </w:rPr>
            </w:pPr>
            <w:r w:rsidRPr="0072251B">
              <w:rPr>
                <w:b/>
                <w:bCs/>
                <w:sz w:val="22"/>
                <w:szCs w:val="22"/>
                <w:lang w:val="uk-UA"/>
              </w:rPr>
              <w:t>36,0%</w:t>
            </w:r>
          </w:p>
        </w:tc>
        <w:tc>
          <w:tcPr>
            <w:tcW w:w="1260" w:type="dxa"/>
            <w:vAlign w:val="bottom"/>
          </w:tcPr>
          <w:p w:rsidR="00132B0E" w:rsidRPr="0072251B" w:rsidRDefault="00132B0E">
            <w:pPr>
              <w:jc w:val="right"/>
              <w:rPr>
                <w:b/>
                <w:bCs/>
                <w:lang w:val="uk-UA"/>
              </w:rPr>
            </w:pPr>
            <w:r w:rsidRPr="0072251B">
              <w:rPr>
                <w:b/>
                <w:bCs/>
                <w:sz w:val="22"/>
                <w:szCs w:val="22"/>
                <w:lang w:val="uk-UA"/>
              </w:rPr>
              <w:t>36,1%</w:t>
            </w:r>
          </w:p>
        </w:tc>
        <w:tc>
          <w:tcPr>
            <w:tcW w:w="1080" w:type="dxa"/>
            <w:vAlign w:val="bottom"/>
          </w:tcPr>
          <w:p w:rsidR="00132B0E" w:rsidRPr="0072251B" w:rsidRDefault="00132B0E">
            <w:pPr>
              <w:jc w:val="right"/>
              <w:rPr>
                <w:b/>
                <w:bCs/>
                <w:lang w:val="uk-UA"/>
              </w:rPr>
            </w:pPr>
            <w:r w:rsidRPr="0072251B">
              <w:rPr>
                <w:b/>
                <w:bCs/>
                <w:sz w:val="22"/>
                <w:szCs w:val="22"/>
                <w:lang w:val="uk-UA"/>
              </w:rPr>
              <w:t xml:space="preserve"> -</w:t>
            </w:r>
          </w:p>
        </w:tc>
        <w:tc>
          <w:tcPr>
            <w:tcW w:w="1080" w:type="dxa"/>
            <w:vAlign w:val="bottom"/>
          </w:tcPr>
          <w:p w:rsidR="00132B0E" w:rsidRPr="0072251B" w:rsidRDefault="00132B0E">
            <w:pPr>
              <w:jc w:val="right"/>
              <w:rPr>
                <w:b/>
                <w:bCs/>
                <w:lang w:val="uk-UA"/>
              </w:rPr>
            </w:pPr>
            <w:r w:rsidRPr="0072251B">
              <w:rPr>
                <w:b/>
                <w:bCs/>
                <w:sz w:val="22"/>
                <w:szCs w:val="22"/>
                <w:lang w:val="uk-UA"/>
              </w:rPr>
              <w:t xml:space="preserve"> -</w:t>
            </w:r>
          </w:p>
        </w:tc>
      </w:tr>
      <w:tr w:rsidR="00132B0E" w:rsidRPr="0072251B">
        <w:trPr>
          <w:trHeight w:val="300"/>
        </w:trPr>
        <w:tc>
          <w:tcPr>
            <w:tcW w:w="9915" w:type="dxa"/>
            <w:gridSpan w:val="6"/>
            <w:vAlign w:val="bottom"/>
          </w:tcPr>
          <w:p w:rsidR="00132B0E" w:rsidRPr="0013099B" w:rsidRDefault="0013099B" w:rsidP="00501F40">
            <w:pPr>
              <w:jc w:val="center"/>
              <w:rPr>
                <w:b/>
                <w:bCs/>
                <w:lang w:val="en-US"/>
              </w:rPr>
            </w:pPr>
            <w:r>
              <w:rPr>
                <w:b/>
                <w:bCs/>
                <w:lang w:val="uk-UA"/>
              </w:rPr>
              <w:t xml:space="preserve">Reinsurance, </w:t>
            </w:r>
            <w:r w:rsidR="00905672" w:rsidRPr="00905672">
              <w:rPr>
                <w:b/>
                <w:bCs/>
                <w:lang w:val="uk-UA"/>
              </w:rPr>
              <w:t>million</w:t>
            </w:r>
            <w:r>
              <w:rPr>
                <w:b/>
                <w:bCs/>
                <w:lang w:val="en-US"/>
              </w:rPr>
              <w:t xml:space="preserve"> UAH</w:t>
            </w:r>
          </w:p>
        </w:tc>
      </w:tr>
      <w:tr w:rsidR="00132B0E" w:rsidRPr="0072251B">
        <w:trPr>
          <w:trHeight w:val="315"/>
        </w:trPr>
        <w:tc>
          <w:tcPr>
            <w:tcW w:w="3975" w:type="dxa"/>
            <w:vAlign w:val="bottom"/>
          </w:tcPr>
          <w:p w:rsidR="00132B0E" w:rsidRPr="0072251B" w:rsidRDefault="00C17D1B" w:rsidP="00501F40">
            <w:pPr>
              <w:rPr>
                <w:lang w:val="uk-UA"/>
              </w:rPr>
            </w:pPr>
            <w:r w:rsidRPr="00C17D1B">
              <w:rPr>
                <w:lang w:val="uk-UA"/>
              </w:rPr>
              <w:lastRenderedPageBreak/>
              <w:t>Paid for reinsurance, including:</w:t>
            </w:r>
          </w:p>
        </w:tc>
        <w:tc>
          <w:tcPr>
            <w:tcW w:w="1260" w:type="dxa"/>
            <w:vAlign w:val="bottom"/>
          </w:tcPr>
          <w:p w:rsidR="00132B0E" w:rsidRPr="0072251B" w:rsidRDefault="00132B0E" w:rsidP="005B01E6">
            <w:pPr>
              <w:jc w:val="right"/>
              <w:rPr>
                <w:b/>
                <w:bCs/>
                <w:lang w:val="uk-UA"/>
              </w:rPr>
            </w:pPr>
            <w:r w:rsidRPr="0072251B">
              <w:rPr>
                <w:b/>
                <w:bCs/>
                <w:sz w:val="22"/>
                <w:szCs w:val="22"/>
                <w:lang w:val="uk-UA"/>
              </w:rPr>
              <w:t>12 668,7</w:t>
            </w:r>
          </w:p>
        </w:tc>
        <w:tc>
          <w:tcPr>
            <w:tcW w:w="1260" w:type="dxa"/>
            <w:vAlign w:val="bottom"/>
          </w:tcPr>
          <w:p w:rsidR="00132B0E" w:rsidRPr="0072251B" w:rsidRDefault="00132B0E" w:rsidP="005B01E6">
            <w:pPr>
              <w:jc w:val="right"/>
              <w:rPr>
                <w:b/>
                <w:bCs/>
                <w:lang w:val="uk-UA"/>
              </w:rPr>
            </w:pPr>
            <w:r w:rsidRPr="0072251B">
              <w:rPr>
                <w:b/>
                <w:bCs/>
                <w:sz w:val="22"/>
                <w:szCs w:val="22"/>
                <w:lang w:val="uk-UA"/>
              </w:rPr>
              <w:t>18 333,6</w:t>
            </w:r>
          </w:p>
        </w:tc>
        <w:tc>
          <w:tcPr>
            <w:tcW w:w="1260" w:type="dxa"/>
            <w:vAlign w:val="bottom"/>
          </w:tcPr>
          <w:p w:rsidR="00132B0E" w:rsidRPr="0072251B" w:rsidRDefault="00132B0E">
            <w:pPr>
              <w:jc w:val="right"/>
              <w:rPr>
                <w:b/>
                <w:bCs/>
                <w:lang w:val="uk-UA"/>
              </w:rPr>
            </w:pPr>
            <w:r w:rsidRPr="0072251B">
              <w:rPr>
                <w:b/>
                <w:bCs/>
                <w:sz w:val="22"/>
                <w:szCs w:val="22"/>
                <w:lang w:val="uk-UA"/>
              </w:rPr>
              <w:t>17 940,7</w:t>
            </w:r>
          </w:p>
        </w:tc>
        <w:tc>
          <w:tcPr>
            <w:tcW w:w="1080" w:type="dxa"/>
            <w:vAlign w:val="bottom"/>
          </w:tcPr>
          <w:p w:rsidR="00132B0E" w:rsidRPr="0072251B" w:rsidRDefault="00132B0E">
            <w:pPr>
              <w:jc w:val="right"/>
              <w:rPr>
                <w:b/>
                <w:bCs/>
                <w:lang w:val="uk-UA"/>
              </w:rPr>
            </w:pPr>
            <w:r w:rsidRPr="0072251B">
              <w:rPr>
                <w:b/>
                <w:bCs/>
                <w:sz w:val="22"/>
                <w:szCs w:val="22"/>
                <w:lang w:val="uk-UA"/>
              </w:rPr>
              <w:t>44,7</w:t>
            </w:r>
          </w:p>
        </w:tc>
        <w:tc>
          <w:tcPr>
            <w:tcW w:w="1080" w:type="dxa"/>
            <w:vAlign w:val="bottom"/>
          </w:tcPr>
          <w:p w:rsidR="00132B0E" w:rsidRPr="0072251B" w:rsidRDefault="00132B0E">
            <w:pPr>
              <w:jc w:val="right"/>
              <w:rPr>
                <w:b/>
                <w:bCs/>
                <w:lang w:val="uk-UA"/>
              </w:rPr>
            </w:pPr>
            <w:r w:rsidRPr="0072251B">
              <w:rPr>
                <w:b/>
                <w:bCs/>
                <w:sz w:val="22"/>
                <w:szCs w:val="22"/>
                <w:lang w:val="uk-UA"/>
              </w:rPr>
              <w:t>-2,1</w:t>
            </w:r>
          </w:p>
        </w:tc>
      </w:tr>
      <w:tr w:rsidR="00132B0E" w:rsidRPr="0072251B">
        <w:trPr>
          <w:trHeight w:val="223"/>
        </w:trPr>
        <w:tc>
          <w:tcPr>
            <w:tcW w:w="3975" w:type="dxa"/>
            <w:vAlign w:val="bottom"/>
          </w:tcPr>
          <w:p w:rsidR="00132B0E" w:rsidRPr="0072251B" w:rsidRDefault="00132B0E" w:rsidP="00C17D1B">
            <w:pPr>
              <w:rPr>
                <w:i/>
                <w:iCs/>
                <w:lang w:val="uk-UA"/>
              </w:rPr>
            </w:pPr>
            <w:r w:rsidRPr="0072251B">
              <w:rPr>
                <w:i/>
                <w:iCs/>
                <w:sz w:val="22"/>
                <w:szCs w:val="22"/>
                <w:lang w:val="uk-UA"/>
              </w:rPr>
              <w:t xml:space="preserve">- </w:t>
            </w:r>
            <w:r w:rsidR="00C17D1B">
              <w:rPr>
                <w:i/>
                <w:iCs/>
                <w:sz w:val="22"/>
                <w:szCs w:val="22"/>
                <w:lang w:val="en-US"/>
              </w:rPr>
              <w:t>to resident reinsurers</w:t>
            </w:r>
          </w:p>
        </w:tc>
        <w:tc>
          <w:tcPr>
            <w:tcW w:w="1260" w:type="dxa"/>
            <w:vAlign w:val="bottom"/>
          </w:tcPr>
          <w:p w:rsidR="00132B0E" w:rsidRPr="0072251B" w:rsidRDefault="00132B0E" w:rsidP="005B01E6">
            <w:pPr>
              <w:jc w:val="right"/>
              <w:rPr>
                <w:b/>
                <w:bCs/>
                <w:lang w:val="uk-UA"/>
              </w:rPr>
            </w:pPr>
            <w:r w:rsidRPr="0072251B">
              <w:rPr>
                <w:b/>
                <w:bCs/>
                <w:sz w:val="22"/>
                <w:szCs w:val="22"/>
                <w:lang w:val="uk-UA"/>
              </w:rPr>
              <w:t>8 706,4</w:t>
            </w:r>
          </w:p>
        </w:tc>
        <w:tc>
          <w:tcPr>
            <w:tcW w:w="1260" w:type="dxa"/>
            <w:vAlign w:val="bottom"/>
          </w:tcPr>
          <w:p w:rsidR="00132B0E" w:rsidRPr="0072251B" w:rsidRDefault="00132B0E" w:rsidP="005B01E6">
            <w:pPr>
              <w:jc w:val="right"/>
              <w:rPr>
                <w:b/>
                <w:bCs/>
                <w:lang w:val="uk-UA"/>
              </w:rPr>
            </w:pPr>
            <w:r w:rsidRPr="0072251B">
              <w:rPr>
                <w:b/>
                <w:bCs/>
                <w:sz w:val="22"/>
                <w:szCs w:val="22"/>
                <w:lang w:val="uk-UA"/>
              </w:rPr>
              <w:t>14 937,4</w:t>
            </w:r>
          </w:p>
        </w:tc>
        <w:tc>
          <w:tcPr>
            <w:tcW w:w="1260" w:type="dxa"/>
            <w:vAlign w:val="bottom"/>
          </w:tcPr>
          <w:p w:rsidR="00132B0E" w:rsidRPr="0072251B" w:rsidRDefault="00132B0E">
            <w:pPr>
              <w:jc w:val="right"/>
              <w:rPr>
                <w:b/>
                <w:bCs/>
                <w:lang w:val="uk-UA"/>
              </w:rPr>
            </w:pPr>
            <w:r w:rsidRPr="0072251B">
              <w:rPr>
                <w:b/>
                <w:bCs/>
                <w:sz w:val="22"/>
                <w:szCs w:val="22"/>
                <w:lang w:val="uk-UA"/>
              </w:rPr>
              <w:t>14 943,2</w:t>
            </w:r>
          </w:p>
        </w:tc>
        <w:tc>
          <w:tcPr>
            <w:tcW w:w="1080" w:type="dxa"/>
            <w:vAlign w:val="bottom"/>
          </w:tcPr>
          <w:p w:rsidR="00132B0E" w:rsidRPr="0072251B" w:rsidRDefault="00132B0E">
            <w:pPr>
              <w:jc w:val="right"/>
              <w:rPr>
                <w:b/>
                <w:bCs/>
                <w:lang w:val="uk-UA"/>
              </w:rPr>
            </w:pPr>
            <w:r w:rsidRPr="0072251B">
              <w:rPr>
                <w:b/>
                <w:bCs/>
                <w:sz w:val="22"/>
                <w:szCs w:val="22"/>
                <w:lang w:val="uk-UA"/>
              </w:rPr>
              <w:t>71,6</w:t>
            </w:r>
          </w:p>
        </w:tc>
        <w:tc>
          <w:tcPr>
            <w:tcW w:w="1080" w:type="dxa"/>
            <w:vAlign w:val="bottom"/>
          </w:tcPr>
          <w:p w:rsidR="00132B0E" w:rsidRPr="0072251B" w:rsidRDefault="00132B0E">
            <w:pPr>
              <w:jc w:val="right"/>
              <w:rPr>
                <w:b/>
                <w:bCs/>
                <w:lang w:val="uk-UA"/>
              </w:rPr>
            </w:pPr>
            <w:r w:rsidRPr="0072251B">
              <w:rPr>
                <w:b/>
                <w:bCs/>
                <w:sz w:val="22"/>
                <w:szCs w:val="22"/>
                <w:lang w:val="uk-UA"/>
              </w:rPr>
              <w:t>0,0</w:t>
            </w:r>
          </w:p>
        </w:tc>
      </w:tr>
      <w:tr w:rsidR="00132B0E" w:rsidRPr="0072251B">
        <w:trPr>
          <w:trHeight w:val="304"/>
        </w:trPr>
        <w:tc>
          <w:tcPr>
            <w:tcW w:w="3975" w:type="dxa"/>
            <w:vAlign w:val="bottom"/>
          </w:tcPr>
          <w:p w:rsidR="00132B0E" w:rsidRPr="0072251B" w:rsidRDefault="00132B0E" w:rsidP="00C17D1B">
            <w:pPr>
              <w:rPr>
                <w:i/>
                <w:iCs/>
                <w:lang w:val="uk-UA"/>
              </w:rPr>
            </w:pPr>
            <w:r w:rsidRPr="0072251B">
              <w:rPr>
                <w:i/>
                <w:iCs/>
                <w:sz w:val="22"/>
                <w:szCs w:val="22"/>
                <w:lang w:val="uk-UA"/>
              </w:rPr>
              <w:t xml:space="preserve">- </w:t>
            </w:r>
            <w:r w:rsidR="00C17D1B">
              <w:rPr>
                <w:i/>
                <w:iCs/>
                <w:sz w:val="22"/>
                <w:szCs w:val="22"/>
                <w:lang w:val="en-US"/>
              </w:rPr>
              <w:t>non - resident - reinsurers</w:t>
            </w:r>
          </w:p>
        </w:tc>
        <w:tc>
          <w:tcPr>
            <w:tcW w:w="1260" w:type="dxa"/>
            <w:vAlign w:val="bottom"/>
          </w:tcPr>
          <w:p w:rsidR="00132B0E" w:rsidRPr="0072251B" w:rsidRDefault="00132B0E" w:rsidP="005B01E6">
            <w:pPr>
              <w:jc w:val="right"/>
              <w:rPr>
                <w:b/>
                <w:bCs/>
                <w:lang w:val="uk-UA"/>
              </w:rPr>
            </w:pPr>
            <w:r w:rsidRPr="0072251B">
              <w:rPr>
                <w:b/>
                <w:bCs/>
                <w:sz w:val="22"/>
                <w:szCs w:val="22"/>
                <w:lang w:val="uk-UA"/>
              </w:rPr>
              <w:t>3 962,3</w:t>
            </w:r>
          </w:p>
        </w:tc>
        <w:tc>
          <w:tcPr>
            <w:tcW w:w="1260" w:type="dxa"/>
            <w:vAlign w:val="bottom"/>
          </w:tcPr>
          <w:p w:rsidR="00132B0E" w:rsidRPr="0072251B" w:rsidRDefault="00132B0E" w:rsidP="005B01E6">
            <w:pPr>
              <w:jc w:val="right"/>
              <w:rPr>
                <w:b/>
                <w:bCs/>
                <w:lang w:val="uk-UA"/>
              </w:rPr>
            </w:pPr>
            <w:r w:rsidRPr="0072251B">
              <w:rPr>
                <w:b/>
                <w:bCs/>
                <w:sz w:val="22"/>
                <w:szCs w:val="22"/>
                <w:lang w:val="uk-UA"/>
              </w:rPr>
              <w:t>3 396,2</w:t>
            </w:r>
          </w:p>
        </w:tc>
        <w:tc>
          <w:tcPr>
            <w:tcW w:w="1260" w:type="dxa"/>
            <w:vAlign w:val="bottom"/>
          </w:tcPr>
          <w:p w:rsidR="00132B0E" w:rsidRPr="0072251B" w:rsidRDefault="00132B0E">
            <w:pPr>
              <w:jc w:val="right"/>
              <w:rPr>
                <w:b/>
                <w:bCs/>
                <w:lang w:val="uk-UA"/>
              </w:rPr>
            </w:pPr>
            <w:r w:rsidRPr="0072251B">
              <w:rPr>
                <w:b/>
                <w:bCs/>
                <w:sz w:val="22"/>
                <w:szCs w:val="22"/>
                <w:lang w:val="uk-UA"/>
              </w:rPr>
              <w:t>2 997,5</w:t>
            </w:r>
          </w:p>
        </w:tc>
        <w:tc>
          <w:tcPr>
            <w:tcW w:w="1080" w:type="dxa"/>
            <w:vAlign w:val="bottom"/>
          </w:tcPr>
          <w:p w:rsidR="00132B0E" w:rsidRPr="0072251B" w:rsidRDefault="00132B0E">
            <w:pPr>
              <w:jc w:val="right"/>
              <w:rPr>
                <w:b/>
                <w:bCs/>
                <w:lang w:val="uk-UA"/>
              </w:rPr>
            </w:pPr>
            <w:r w:rsidRPr="0072251B">
              <w:rPr>
                <w:b/>
                <w:bCs/>
                <w:sz w:val="22"/>
                <w:szCs w:val="22"/>
                <w:lang w:val="uk-UA"/>
              </w:rPr>
              <w:t>-14,3</w:t>
            </w:r>
          </w:p>
        </w:tc>
        <w:tc>
          <w:tcPr>
            <w:tcW w:w="1080" w:type="dxa"/>
            <w:vAlign w:val="bottom"/>
          </w:tcPr>
          <w:p w:rsidR="00132B0E" w:rsidRPr="0072251B" w:rsidRDefault="00132B0E">
            <w:pPr>
              <w:jc w:val="right"/>
              <w:rPr>
                <w:b/>
                <w:bCs/>
                <w:lang w:val="uk-UA"/>
              </w:rPr>
            </w:pPr>
            <w:r w:rsidRPr="0072251B">
              <w:rPr>
                <w:b/>
                <w:bCs/>
                <w:sz w:val="22"/>
                <w:szCs w:val="22"/>
                <w:lang w:val="uk-UA"/>
              </w:rPr>
              <w:t>-11,7</w:t>
            </w:r>
          </w:p>
        </w:tc>
      </w:tr>
      <w:tr w:rsidR="00132B0E" w:rsidRPr="0072251B">
        <w:trPr>
          <w:trHeight w:val="341"/>
        </w:trPr>
        <w:tc>
          <w:tcPr>
            <w:tcW w:w="3975" w:type="dxa"/>
            <w:vAlign w:val="bottom"/>
          </w:tcPr>
          <w:p w:rsidR="00132B0E" w:rsidRPr="0072251B" w:rsidRDefault="00C17D1B" w:rsidP="00C17D1B">
            <w:pPr>
              <w:rPr>
                <w:lang w:val="uk-UA"/>
              </w:rPr>
            </w:pPr>
            <w:r>
              <w:rPr>
                <w:sz w:val="22"/>
                <w:szCs w:val="22"/>
                <w:lang w:val="en-US"/>
              </w:rPr>
              <w:t>Payments</w:t>
            </w:r>
            <w:r w:rsidRPr="00905672">
              <w:rPr>
                <w:sz w:val="22"/>
                <w:szCs w:val="22"/>
                <w:lang w:val="en-US"/>
              </w:rPr>
              <w:t xml:space="preserve"> </w:t>
            </w:r>
            <w:r>
              <w:rPr>
                <w:sz w:val="22"/>
                <w:szCs w:val="22"/>
                <w:lang w:val="en-US"/>
              </w:rPr>
              <w:t>offset</w:t>
            </w:r>
            <w:r w:rsidRPr="00905672">
              <w:rPr>
                <w:sz w:val="22"/>
                <w:szCs w:val="22"/>
                <w:lang w:val="en-US"/>
              </w:rPr>
              <w:t xml:space="preserve"> </w:t>
            </w:r>
            <w:r>
              <w:rPr>
                <w:sz w:val="22"/>
                <w:szCs w:val="22"/>
                <w:lang w:val="en-US"/>
              </w:rPr>
              <w:t>by</w:t>
            </w:r>
            <w:r w:rsidRPr="00905672">
              <w:rPr>
                <w:sz w:val="22"/>
                <w:szCs w:val="22"/>
                <w:lang w:val="en-US"/>
              </w:rPr>
              <w:t xml:space="preserve"> </w:t>
            </w:r>
            <w:r>
              <w:rPr>
                <w:sz w:val="22"/>
                <w:szCs w:val="22"/>
                <w:lang w:val="en-US"/>
              </w:rPr>
              <w:t>reinsurers</w:t>
            </w:r>
            <w:r w:rsidRPr="00905672">
              <w:rPr>
                <w:sz w:val="22"/>
                <w:szCs w:val="22"/>
                <w:lang w:val="en-US"/>
              </w:rPr>
              <w:t xml:space="preserve">, </w:t>
            </w:r>
            <w:r>
              <w:rPr>
                <w:sz w:val="22"/>
                <w:szCs w:val="22"/>
                <w:lang w:val="en-US"/>
              </w:rPr>
              <w:t>including</w:t>
            </w:r>
            <w:r w:rsidRPr="00905672">
              <w:rPr>
                <w:sz w:val="22"/>
                <w:szCs w:val="22"/>
                <w:lang w:val="en-US"/>
              </w:rPr>
              <w:t>:</w:t>
            </w:r>
          </w:p>
        </w:tc>
        <w:tc>
          <w:tcPr>
            <w:tcW w:w="1260" w:type="dxa"/>
            <w:vAlign w:val="bottom"/>
          </w:tcPr>
          <w:p w:rsidR="00132B0E" w:rsidRPr="0072251B" w:rsidRDefault="00132B0E" w:rsidP="005B01E6">
            <w:pPr>
              <w:jc w:val="right"/>
              <w:rPr>
                <w:b/>
                <w:bCs/>
                <w:lang w:val="uk-UA"/>
              </w:rPr>
            </w:pPr>
            <w:r w:rsidRPr="0072251B">
              <w:rPr>
                <w:b/>
                <w:bCs/>
                <w:sz w:val="22"/>
                <w:szCs w:val="22"/>
                <w:lang w:val="uk-UA"/>
              </w:rPr>
              <w:t>1 233,2</w:t>
            </w:r>
          </w:p>
        </w:tc>
        <w:tc>
          <w:tcPr>
            <w:tcW w:w="1260" w:type="dxa"/>
            <w:vAlign w:val="bottom"/>
          </w:tcPr>
          <w:p w:rsidR="00132B0E" w:rsidRPr="0072251B" w:rsidRDefault="00132B0E" w:rsidP="005B01E6">
            <w:pPr>
              <w:jc w:val="right"/>
              <w:rPr>
                <w:b/>
                <w:bCs/>
                <w:lang w:val="uk-UA"/>
              </w:rPr>
            </w:pPr>
            <w:r w:rsidRPr="0072251B">
              <w:rPr>
                <w:b/>
                <w:bCs/>
                <w:sz w:val="22"/>
                <w:szCs w:val="22"/>
                <w:lang w:val="uk-UA"/>
              </w:rPr>
              <w:t>1 208,2</w:t>
            </w:r>
          </w:p>
        </w:tc>
        <w:tc>
          <w:tcPr>
            <w:tcW w:w="1260" w:type="dxa"/>
            <w:vAlign w:val="bottom"/>
          </w:tcPr>
          <w:p w:rsidR="00132B0E" w:rsidRPr="0072251B" w:rsidRDefault="00132B0E">
            <w:pPr>
              <w:jc w:val="right"/>
              <w:rPr>
                <w:b/>
                <w:bCs/>
                <w:lang w:val="uk-UA"/>
              </w:rPr>
            </w:pPr>
            <w:r w:rsidRPr="0072251B">
              <w:rPr>
                <w:b/>
                <w:bCs/>
                <w:sz w:val="22"/>
                <w:szCs w:val="22"/>
                <w:lang w:val="uk-UA"/>
              </w:rPr>
              <w:t>2 459,0</w:t>
            </w:r>
          </w:p>
        </w:tc>
        <w:tc>
          <w:tcPr>
            <w:tcW w:w="1080" w:type="dxa"/>
            <w:vAlign w:val="bottom"/>
          </w:tcPr>
          <w:p w:rsidR="00132B0E" w:rsidRPr="0072251B" w:rsidRDefault="00132B0E">
            <w:pPr>
              <w:jc w:val="right"/>
              <w:rPr>
                <w:b/>
                <w:bCs/>
                <w:lang w:val="uk-UA"/>
              </w:rPr>
            </w:pPr>
            <w:r w:rsidRPr="0072251B">
              <w:rPr>
                <w:b/>
                <w:bCs/>
                <w:sz w:val="22"/>
                <w:szCs w:val="22"/>
                <w:lang w:val="uk-UA"/>
              </w:rPr>
              <w:t>-2,0</w:t>
            </w:r>
          </w:p>
        </w:tc>
        <w:tc>
          <w:tcPr>
            <w:tcW w:w="1080" w:type="dxa"/>
            <w:vAlign w:val="bottom"/>
          </w:tcPr>
          <w:p w:rsidR="00132B0E" w:rsidRPr="0072251B" w:rsidRDefault="00132B0E">
            <w:pPr>
              <w:jc w:val="right"/>
              <w:rPr>
                <w:b/>
                <w:bCs/>
                <w:lang w:val="uk-UA"/>
              </w:rPr>
            </w:pPr>
            <w:r w:rsidRPr="0072251B">
              <w:rPr>
                <w:b/>
                <w:bCs/>
                <w:sz w:val="22"/>
                <w:szCs w:val="22"/>
                <w:lang w:val="uk-UA"/>
              </w:rPr>
              <w:t>103,5</w:t>
            </w:r>
          </w:p>
        </w:tc>
      </w:tr>
      <w:tr w:rsidR="00132B0E" w:rsidRPr="0072251B">
        <w:trPr>
          <w:trHeight w:val="315"/>
        </w:trPr>
        <w:tc>
          <w:tcPr>
            <w:tcW w:w="3975" w:type="dxa"/>
            <w:vAlign w:val="bottom"/>
          </w:tcPr>
          <w:p w:rsidR="00132B0E" w:rsidRPr="00905672" w:rsidRDefault="00905672" w:rsidP="00501F40">
            <w:pPr>
              <w:rPr>
                <w:i/>
                <w:iCs/>
                <w:lang w:val="en-US"/>
              </w:rPr>
            </w:pPr>
            <w:r>
              <w:rPr>
                <w:i/>
                <w:iCs/>
                <w:sz w:val="22"/>
                <w:szCs w:val="22"/>
                <w:lang w:val="uk-UA"/>
              </w:rPr>
              <w:t xml:space="preserve">- </w:t>
            </w:r>
            <w:r>
              <w:rPr>
                <w:i/>
                <w:iCs/>
                <w:sz w:val="22"/>
                <w:szCs w:val="22"/>
                <w:lang w:val="en-US"/>
              </w:rPr>
              <w:t>resident</w:t>
            </w:r>
            <w:r w:rsidR="00132B0E" w:rsidRPr="0072251B">
              <w:rPr>
                <w:i/>
                <w:iCs/>
                <w:sz w:val="22"/>
                <w:szCs w:val="22"/>
                <w:lang w:val="uk-UA"/>
              </w:rPr>
              <w:t>-</w:t>
            </w:r>
            <w:r>
              <w:rPr>
                <w:i/>
                <w:iCs/>
                <w:sz w:val="22"/>
                <w:szCs w:val="22"/>
                <w:lang w:val="en-US"/>
              </w:rPr>
              <w:t>reinsurers</w:t>
            </w:r>
          </w:p>
        </w:tc>
        <w:tc>
          <w:tcPr>
            <w:tcW w:w="1260" w:type="dxa"/>
            <w:vAlign w:val="bottom"/>
          </w:tcPr>
          <w:p w:rsidR="00132B0E" w:rsidRPr="0072251B" w:rsidRDefault="00132B0E" w:rsidP="005B01E6">
            <w:pPr>
              <w:jc w:val="right"/>
              <w:rPr>
                <w:b/>
                <w:bCs/>
                <w:lang w:val="uk-UA"/>
              </w:rPr>
            </w:pPr>
            <w:r w:rsidRPr="0072251B">
              <w:rPr>
                <w:b/>
                <w:bCs/>
                <w:sz w:val="22"/>
                <w:szCs w:val="22"/>
                <w:lang w:val="uk-UA"/>
              </w:rPr>
              <w:t>278,5</w:t>
            </w:r>
          </w:p>
        </w:tc>
        <w:tc>
          <w:tcPr>
            <w:tcW w:w="1260" w:type="dxa"/>
            <w:vAlign w:val="bottom"/>
          </w:tcPr>
          <w:p w:rsidR="00132B0E" w:rsidRPr="0072251B" w:rsidRDefault="00132B0E" w:rsidP="005B01E6">
            <w:pPr>
              <w:jc w:val="right"/>
              <w:rPr>
                <w:b/>
                <w:bCs/>
                <w:lang w:val="uk-UA"/>
              </w:rPr>
            </w:pPr>
            <w:r w:rsidRPr="0072251B">
              <w:rPr>
                <w:b/>
                <w:bCs/>
                <w:sz w:val="22"/>
                <w:szCs w:val="22"/>
                <w:lang w:val="uk-UA"/>
              </w:rPr>
              <w:t>280,0</w:t>
            </w:r>
          </w:p>
        </w:tc>
        <w:tc>
          <w:tcPr>
            <w:tcW w:w="1260" w:type="dxa"/>
            <w:vAlign w:val="bottom"/>
          </w:tcPr>
          <w:p w:rsidR="00132B0E" w:rsidRPr="0072251B" w:rsidRDefault="00132B0E">
            <w:pPr>
              <w:jc w:val="right"/>
              <w:rPr>
                <w:b/>
                <w:bCs/>
                <w:lang w:val="uk-UA"/>
              </w:rPr>
            </w:pPr>
            <w:r w:rsidRPr="0072251B">
              <w:rPr>
                <w:b/>
                <w:bCs/>
                <w:sz w:val="22"/>
                <w:szCs w:val="22"/>
                <w:lang w:val="uk-UA"/>
              </w:rPr>
              <w:t>430,8</w:t>
            </w:r>
          </w:p>
        </w:tc>
        <w:tc>
          <w:tcPr>
            <w:tcW w:w="1080" w:type="dxa"/>
            <w:vAlign w:val="bottom"/>
          </w:tcPr>
          <w:p w:rsidR="00132B0E" w:rsidRPr="0072251B" w:rsidRDefault="00132B0E">
            <w:pPr>
              <w:jc w:val="right"/>
              <w:rPr>
                <w:b/>
                <w:bCs/>
                <w:lang w:val="uk-UA"/>
              </w:rPr>
            </w:pPr>
            <w:r w:rsidRPr="0072251B">
              <w:rPr>
                <w:b/>
                <w:bCs/>
                <w:sz w:val="22"/>
                <w:szCs w:val="22"/>
                <w:lang w:val="uk-UA"/>
              </w:rPr>
              <w:t>0,5</w:t>
            </w:r>
          </w:p>
        </w:tc>
        <w:tc>
          <w:tcPr>
            <w:tcW w:w="1080" w:type="dxa"/>
            <w:vAlign w:val="bottom"/>
          </w:tcPr>
          <w:p w:rsidR="00132B0E" w:rsidRPr="0072251B" w:rsidRDefault="00132B0E">
            <w:pPr>
              <w:jc w:val="right"/>
              <w:rPr>
                <w:b/>
                <w:bCs/>
                <w:lang w:val="uk-UA"/>
              </w:rPr>
            </w:pPr>
            <w:r w:rsidRPr="0072251B">
              <w:rPr>
                <w:b/>
                <w:bCs/>
                <w:sz w:val="22"/>
                <w:szCs w:val="22"/>
                <w:lang w:val="uk-UA"/>
              </w:rPr>
              <w:t>53,9</w:t>
            </w:r>
          </w:p>
        </w:tc>
      </w:tr>
      <w:tr w:rsidR="00132B0E" w:rsidRPr="0072251B">
        <w:trPr>
          <w:trHeight w:val="315"/>
        </w:trPr>
        <w:tc>
          <w:tcPr>
            <w:tcW w:w="3975" w:type="dxa"/>
            <w:vAlign w:val="bottom"/>
          </w:tcPr>
          <w:p w:rsidR="00132B0E" w:rsidRPr="00905672" w:rsidRDefault="00905672" w:rsidP="00501F40">
            <w:pPr>
              <w:rPr>
                <w:i/>
                <w:iCs/>
                <w:lang w:val="en-US"/>
              </w:rPr>
            </w:pPr>
            <w:r>
              <w:rPr>
                <w:i/>
                <w:iCs/>
                <w:sz w:val="22"/>
                <w:szCs w:val="22"/>
                <w:lang w:val="uk-UA"/>
              </w:rPr>
              <w:t xml:space="preserve">- </w:t>
            </w:r>
            <w:r>
              <w:rPr>
                <w:i/>
                <w:iCs/>
                <w:sz w:val="22"/>
                <w:szCs w:val="22"/>
                <w:lang w:val="en-US"/>
              </w:rPr>
              <w:t>reinsurers</w:t>
            </w:r>
            <w:r w:rsidR="00132B0E" w:rsidRPr="0072251B">
              <w:rPr>
                <w:i/>
                <w:iCs/>
                <w:sz w:val="22"/>
                <w:szCs w:val="22"/>
                <w:lang w:val="uk-UA"/>
              </w:rPr>
              <w:t>-</w:t>
            </w:r>
            <w:r>
              <w:rPr>
                <w:i/>
                <w:iCs/>
                <w:sz w:val="22"/>
                <w:szCs w:val="22"/>
                <w:lang w:val="en-US"/>
              </w:rPr>
              <w:t>non-residents</w:t>
            </w:r>
          </w:p>
        </w:tc>
        <w:tc>
          <w:tcPr>
            <w:tcW w:w="1260" w:type="dxa"/>
            <w:vAlign w:val="bottom"/>
          </w:tcPr>
          <w:p w:rsidR="00132B0E" w:rsidRPr="0072251B" w:rsidRDefault="00132B0E" w:rsidP="005B01E6">
            <w:pPr>
              <w:jc w:val="right"/>
              <w:rPr>
                <w:b/>
                <w:bCs/>
                <w:lang w:val="uk-UA"/>
              </w:rPr>
            </w:pPr>
            <w:r w:rsidRPr="0072251B">
              <w:rPr>
                <w:b/>
                <w:bCs/>
                <w:sz w:val="22"/>
                <w:szCs w:val="22"/>
                <w:lang w:val="uk-UA"/>
              </w:rPr>
              <w:t>954,7</w:t>
            </w:r>
          </w:p>
        </w:tc>
        <w:tc>
          <w:tcPr>
            <w:tcW w:w="1260" w:type="dxa"/>
            <w:vAlign w:val="bottom"/>
          </w:tcPr>
          <w:p w:rsidR="00132B0E" w:rsidRPr="0072251B" w:rsidRDefault="00132B0E" w:rsidP="005B01E6">
            <w:pPr>
              <w:jc w:val="right"/>
              <w:rPr>
                <w:b/>
                <w:bCs/>
                <w:lang w:val="uk-UA"/>
              </w:rPr>
            </w:pPr>
            <w:r w:rsidRPr="0072251B">
              <w:rPr>
                <w:b/>
                <w:bCs/>
                <w:sz w:val="22"/>
                <w:szCs w:val="22"/>
                <w:lang w:val="uk-UA"/>
              </w:rPr>
              <w:t>928,2</w:t>
            </w:r>
          </w:p>
        </w:tc>
        <w:tc>
          <w:tcPr>
            <w:tcW w:w="1260" w:type="dxa"/>
            <w:vAlign w:val="bottom"/>
          </w:tcPr>
          <w:p w:rsidR="00132B0E" w:rsidRPr="0072251B" w:rsidRDefault="00132B0E">
            <w:pPr>
              <w:jc w:val="right"/>
              <w:rPr>
                <w:b/>
                <w:bCs/>
                <w:lang w:val="uk-UA"/>
              </w:rPr>
            </w:pPr>
            <w:r w:rsidRPr="0072251B">
              <w:rPr>
                <w:b/>
                <w:bCs/>
                <w:sz w:val="22"/>
                <w:szCs w:val="22"/>
                <w:lang w:val="uk-UA"/>
              </w:rPr>
              <w:t>2 028,2</w:t>
            </w:r>
          </w:p>
        </w:tc>
        <w:tc>
          <w:tcPr>
            <w:tcW w:w="1080" w:type="dxa"/>
            <w:vAlign w:val="bottom"/>
          </w:tcPr>
          <w:p w:rsidR="00132B0E" w:rsidRPr="0072251B" w:rsidRDefault="00132B0E">
            <w:pPr>
              <w:jc w:val="right"/>
              <w:rPr>
                <w:b/>
                <w:bCs/>
                <w:lang w:val="uk-UA"/>
              </w:rPr>
            </w:pPr>
            <w:r w:rsidRPr="0072251B">
              <w:rPr>
                <w:b/>
                <w:bCs/>
                <w:sz w:val="22"/>
                <w:szCs w:val="22"/>
                <w:lang w:val="uk-UA"/>
              </w:rPr>
              <w:t>-2,8</w:t>
            </w:r>
          </w:p>
        </w:tc>
        <w:tc>
          <w:tcPr>
            <w:tcW w:w="1080" w:type="dxa"/>
            <w:vAlign w:val="bottom"/>
          </w:tcPr>
          <w:p w:rsidR="00132B0E" w:rsidRPr="0072251B" w:rsidRDefault="00132B0E">
            <w:pPr>
              <w:jc w:val="right"/>
              <w:rPr>
                <w:b/>
                <w:bCs/>
                <w:lang w:val="uk-UA"/>
              </w:rPr>
            </w:pPr>
            <w:r w:rsidRPr="0072251B">
              <w:rPr>
                <w:b/>
                <w:bCs/>
                <w:sz w:val="22"/>
                <w:szCs w:val="22"/>
                <w:lang w:val="uk-UA"/>
              </w:rPr>
              <w:t>118,5</w:t>
            </w:r>
          </w:p>
        </w:tc>
      </w:tr>
      <w:tr w:rsidR="00132B0E" w:rsidRPr="0072251B">
        <w:trPr>
          <w:trHeight w:val="507"/>
        </w:trPr>
        <w:tc>
          <w:tcPr>
            <w:tcW w:w="3975" w:type="dxa"/>
            <w:vAlign w:val="bottom"/>
          </w:tcPr>
          <w:p w:rsidR="00132B0E" w:rsidRPr="00905672" w:rsidRDefault="00905672" w:rsidP="00905672">
            <w:pPr>
              <w:rPr>
                <w:lang w:val="en-US"/>
              </w:rPr>
            </w:pPr>
            <w:r>
              <w:rPr>
                <w:sz w:val="22"/>
                <w:szCs w:val="22"/>
                <w:lang w:val="en-US"/>
              </w:rPr>
              <w:t>Received</w:t>
            </w:r>
            <w:r w:rsidRPr="00905672">
              <w:rPr>
                <w:sz w:val="22"/>
                <w:szCs w:val="22"/>
                <w:lang w:val="en-US"/>
              </w:rPr>
              <w:t xml:space="preserve"> </w:t>
            </w:r>
            <w:r>
              <w:rPr>
                <w:sz w:val="22"/>
                <w:szCs w:val="22"/>
                <w:lang w:val="en-US"/>
              </w:rPr>
              <w:t>insurance</w:t>
            </w:r>
            <w:r w:rsidRPr="00905672">
              <w:rPr>
                <w:sz w:val="22"/>
                <w:szCs w:val="22"/>
                <w:lang w:val="en-US"/>
              </w:rPr>
              <w:t xml:space="preserve"> </w:t>
            </w:r>
            <w:r>
              <w:rPr>
                <w:sz w:val="22"/>
                <w:szCs w:val="22"/>
                <w:lang w:val="en-US"/>
              </w:rPr>
              <w:t>premiums</w:t>
            </w:r>
            <w:r w:rsidRPr="00905672">
              <w:rPr>
                <w:sz w:val="22"/>
                <w:szCs w:val="22"/>
                <w:lang w:val="en-US"/>
              </w:rPr>
              <w:t xml:space="preserve"> </w:t>
            </w:r>
            <w:r>
              <w:rPr>
                <w:sz w:val="22"/>
                <w:szCs w:val="22"/>
                <w:lang w:val="en-US"/>
              </w:rPr>
              <w:t>from</w:t>
            </w:r>
            <w:r w:rsidRPr="00905672">
              <w:rPr>
                <w:sz w:val="22"/>
                <w:szCs w:val="22"/>
                <w:lang w:val="en-US"/>
              </w:rPr>
              <w:t xml:space="preserve"> </w:t>
            </w:r>
            <w:r>
              <w:rPr>
                <w:sz w:val="22"/>
                <w:szCs w:val="22"/>
                <w:lang w:val="en-US"/>
              </w:rPr>
              <w:t>reinsurers</w:t>
            </w:r>
            <w:r w:rsidRPr="00905672">
              <w:rPr>
                <w:sz w:val="22"/>
                <w:szCs w:val="22"/>
                <w:lang w:val="en-US"/>
              </w:rPr>
              <w:t xml:space="preserve"> </w:t>
            </w:r>
            <w:r>
              <w:rPr>
                <w:sz w:val="22"/>
                <w:szCs w:val="22"/>
                <w:lang w:val="en-US"/>
              </w:rPr>
              <w:t>non</w:t>
            </w:r>
            <w:r w:rsidRPr="00905672">
              <w:rPr>
                <w:sz w:val="22"/>
                <w:szCs w:val="22"/>
                <w:lang w:val="en-US"/>
              </w:rPr>
              <w:t>-</w:t>
            </w:r>
            <w:r>
              <w:rPr>
                <w:sz w:val="22"/>
                <w:szCs w:val="22"/>
                <w:lang w:val="en-US"/>
              </w:rPr>
              <w:t>residents</w:t>
            </w:r>
          </w:p>
        </w:tc>
        <w:tc>
          <w:tcPr>
            <w:tcW w:w="1260" w:type="dxa"/>
            <w:vAlign w:val="bottom"/>
          </w:tcPr>
          <w:p w:rsidR="00132B0E" w:rsidRPr="0072251B" w:rsidRDefault="00132B0E" w:rsidP="005B01E6">
            <w:pPr>
              <w:jc w:val="right"/>
              <w:rPr>
                <w:b/>
                <w:bCs/>
                <w:lang w:val="uk-UA"/>
              </w:rPr>
            </w:pPr>
            <w:r w:rsidRPr="0072251B">
              <w:rPr>
                <w:b/>
                <w:bCs/>
                <w:sz w:val="22"/>
                <w:szCs w:val="22"/>
                <w:lang w:val="uk-UA"/>
              </w:rPr>
              <w:t>40,1</w:t>
            </w:r>
          </w:p>
        </w:tc>
        <w:tc>
          <w:tcPr>
            <w:tcW w:w="1260" w:type="dxa"/>
            <w:vAlign w:val="bottom"/>
          </w:tcPr>
          <w:p w:rsidR="00132B0E" w:rsidRPr="0072251B" w:rsidRDefault="00132B0E" w:rsidP="005B01E6">
            <w:pPr>
              <w:jc w:val="right"/>
              <w:rPr>
                <w:b/>
                <w:bCs/>
                <w:lang w:val="uk-UA"/>
              </w:rPr>
            </w:pPr>
            <w:r w:rsidRPr="0072251B">
              <w:rPr>
                <w:b/>
                <w:bCs/>
                <w:sz w:val="22"/>
                <w:szCs w:val="22"/>
                <w:lang w:val="uk-UA"/>
              </w:rPr>
              <w:t>46,1</w:t>
            </w:r>
          </w:p>
        </w:tc>
        <w:tc>
          <w:tcPr>
            <w:tcW w:w="1260" w:type="dxa"/>
            <w:vAlign w:val="bottom"/>
          </w:tcPr>
          <w:p w:rsidR="00132B0E" w:rsidRPr="0072251B" w:rsidRDefault="00132B0E">
            <w:pPr>
              <w:jc w:val="right"/>
              <w:rPr>
                <w:b/>
                <w:bCs/>
                <w:lang w:val="uk-UA"/>
              </w:rPr>
            </w:pPr>
            <w:r w:rsidRPr="0072251B">
              <w:rPr>
                <w:b/>
                <w:bCs/>
                <w:sz w:val="22"/>
                <w:szCs w:val="22"/>
                <w:lang w:val="uk-UA"/>
              </w:rPr>
              <w:t>48,4</w:t>
            </w:r>
          </w:p>
        </w:tc>
        <w:tc>
          <w:tcPr>
            <w:tcW w:w="1080" w:type="dxa"/>
            <w:vAlign w:val="bottom"/>
          </w:tcPr>
          <w:p w:rsidR="00132B0E" w:rsidRPr="0072251B" w:rsidRDefault="00132B0E">
            <w:pPr>
              <w:jc w:val="right"/>
              <w:rPr>
                <w:b/>
                <w:bCs/>
                <w:lang w:val="uk-UA"/>
              </w:rPr>
            </w:pPr>
            <w:r w:rsidRPr="0072251B">
              <w:rPr>
                <w:b/>
                <w:bCs/>
                <w:sz w:val="22"/>
                <w:szCs w:val="22"/>
                <w:lang w:val="uk-UA"/>
              </w:rPr>
              <w:t>15,0</w:t>
            </w:r>
          </w:p>
        </w:tc>
        <w:tc>
          <w:tcPr>
            <w:tcW w:w="1080" w:type="dxa"/>
            <w:vAlign w:val="bottom"/>
          </w:tcPr>
          <w:p w:rsidR="00132B0E" w:rsidRPr="0072251B" w:rsidRDefault="00132B0E">
            <w:pPr>
              <w:jc w:val="right"/>
              <w:rPr>
                <w:b/>
                <w:bCs/>
                <w:lang w:val="uk-UA"/>
              </w:rPr>
            </w:pPr>
            <w:r w:rsidRPr="0072251B">
              <w:rPr>
                <w:b/>
                <w:bCs/>
                <w:sz w:val="22"/>
                <w:szCs w:val="22"/>
                <w:lang w:val="uk-UA"/>
              </w:rPr>
              <w:t>5,0</w:t>
            </w:r>
          </w:p>
        </w:tc>
      </w:tr>
      <w:tr w:rsidR="00132B0E" w:rsidRPr="0072251B">
        <w:trPr>
          <w:trHeight w:val="485"/>
        </w:trPr>
        <w:tc>
          <w:tcPr>
            <w:tcW w:w="3975" w:type="dxa"/>
            <w:vAlign w:val="bottom"/>
          </w:tcPr>
          <w:p w:rsidR="00132B0E" w:rsidRPr="0072251B" w:rsidRDefault="00905672" w:rsidP="00905672">
            <w:pPr>
              <w:rPr>
                <w:lang w:val="uk-UA"/>
              </w:rPr>
            </w:pPr>
            <w:r>
              <w:rPr>
                <w:sz w:val="22"/>
                <w:szCs w:val="22"/>
                <w:lang w:val="en-US"/>
              </w:rPr>
              <w:t>Payments compensated by reinsurers-non-residents</w:t>
            </w:r>
          </w:p>
        </w:tc>
        <w:tc>
          <w:tcPr>
            <w:tcW w:w="1260" w:type="dxa"/>
            <w:vAlign w:val="bottom"/>
          </w:tcPr>
          <w:p w:rsidR="00132B0E" w:rsidRPr="0072251B" w:rsidRDefault="00132B0E" w:rsidP="005B01E6">
            <w:pPr>
              <w:jc w:val="right"/>
              <w:rPr>
                <w:b/>
                <w:bCs/>
                <w:lang w:val="uk-UA"/>
              </w:rPr>
            </w:pPr>
            <w:r w:rsidRPr="0072251B">
              <w:rPr>
                <w:b/>
                <w:bCs/>
                <w:sz w:val="22"/>
                <w:szCs w:val="22"/>
                <w:lang w:val="uk-UA"/>
              </w:rPr>
              <w:t>14,2</w:t>
            </w:r>
          </w:p>
        </w:tc>
        <w:tc>
          <w:tcPr>
            <w:tcW w:w="1260" w:type="dxa"/>
            <w:vAlign w:val="bottom"/>
          </w:tcPr>
          <w:p w:rsidR="00132B0E" w:rsidRPr="0072251B" w:rsidRDefault="00132B0E" w:rsidP="005B01E6">
            <w:pPr>
              <w:jc w:val="right"/>
              <w:rPr>
                <w:b/>
                <w:bCs/>
                <w:lang w:val="uk-UA"/>
              </w:rPr>
            </w:pPr>
            <w:r w:rsidRPr="0072251B">
              <w:rPr>
                <w:b/>
                <w:bCs/>
                <w:sz w:val="22"/>
                <w:szCs w:val="22"/>
                <w:lang w:val="uk-UA"/>
              </w:rPr>
              <w:t>13,8</w:t>
            </w:r>
          </w:p>
        </w:tc>
        <w:tc>
          <w:tcPr>
            <w:tcW w:w="1260" w:type="dxa"/>
            <w:vAlign w:val="bottom"/>
          </w:tcPr>
          <w:p w:rsidR="00132B0E" w:rsidRPr="0072251B" w:rsidRDefault="00132B0E">
            <w:pPr>
              <w:jc w:val="right"/>
              <w:rPr>
                <w:b/>
                <w:bCs/>
                <w:lang w:val="uk-UA"/>
              </w:rPr>
            </w:pPr>
            <w:r w:rsidRPr="0072251B">
              <w:rPr>
                <w:b/>
                <w:bCs/>
                <w:sz w:val="22"/>
                <w:szCs w:val="22"/>
                <w:lang w:val="uk-UA"/>
              </w:rPr>
              <w:t>44,4</w:t>
            </w:r>
          </w:p>
        </w:tc>
        <w:tc>
          <w:tcPr>
            <w:tcW w:w="1080" w:type="dxa"/>
            <w:vAlign w:val="bottom"/>
          </w:tcPr>
          <w:p w:rsidR="00132B0E" w:rsidRPr="0072251B" w:rsidRDefault="00132B0E">
            <w:pPr>
              <w:jc w:val="right"/>
              <w:rPr>
                <w:b/>
                <w:bCs/>
                <w:lang w:val="uk-UA"/>
              </w:rPr>
            </w:pPr>
            <w:r w:rsidRPr="0072251B">
              <w:rPr>
                <w:b/>
                <w:bCs/>
                <w:sz w:val="22"/>
                <w:szCs w:val="22"/>
                <w:lang w:val="uk-UA"/>
              </w:rPr>
              <w:t>-2,8</w:t>
            </w:r>
          </w:p>
        </w:tc>
        <w:tc>
          <w:tcPr>
            <w:tcW w:w="1080" w:type="dxa"/>
            <w:vAlign w:val="bottom"/>
          </w:tcPr>
          <w:p w:rsidR="00132B0E" w:rsidRPr="0072251B" w:rsidRDefault="00132B0E">
            <w:pPr>
              <w:jc w:val="right"/>
              <w:rPr>
                <w:b/>
                <w:bCs/>
                <w:lang w:val="uk-UA"/>
              </w:rPr>
            </w:pPr>
            <w:r w:rsidRPr="0072251B">
              <w:rPr>
                <w:b/>
                <w:bCs/>
                <w:sz w:val="22"/>
                <w:szCs w:val="22"/>
                <w:lang w:val="uk-UA"/>
              </w:rPr>
              <w:t>221,7</w:t>
            </w:r>
          </w:p>
        </w:tc>
      </w:tr>
      <w:tr w:rsidR="00132B0E" w:rsidRPr="0072251B">
        <w:trPr>
          <w:trHeight w:val="163"/>
        </w:trPr>
        <w:tc>
          <w:tcPr>
            <w:tcW w:w="9915" w:type="dxa"/>
            <w:gridSpan w:val="6"/>
            <w:vAlign w:val="bottom"/>
          </w:tcPr>
          <w:p w:rsidR="00132B0E" w:rsidRPr="0072251B" w:rsidRDefault="0013099B" w:rsidP="00501F40">
            <w:pPr>
              <w:jc w:val="center"/>
              <w:rPr>
                <w:b/>
                <w:bCs/>
                <w:lang w:val="uk-UA"/>
              </w:rPr>
            </w:pPr>
            <w:r>
              <w:rPr>
                <w:b/>
                <w:bCs/>
                <w:lang w:val="uk-UA"/>
              </w:rPr>
              <w:t>Insurance reserves, m</w:t>
            </w:r>
            <w:r>
              <w:rPr>
                <w:b/>
                <w:bCs/>
                <w:lang w:val="en-US"/>
              </w:rPr>
              <w:t>illion</w:t>
            </w:r>
            <w:r w:rsidR="00905672" w:rsidRPr="00905672">
              <w:rPr>
                <w:b/>
                <w:bCs/>
                <w:lang w:val="uk-UA"/>
              </w:rPr>
              <w:t xml:space="preserve"> UAH</w:t>
            </w:r>
          </w:p>
        </w:tc>
      </w:tr>
      <w:tr w:rsidR="00132B0E" w:rsidRPr="0072251B">
        <w:trPr>
          <w:trHeight w:val="315"/>
        </w:trPr>
        <w:tc>
          <w:tcPr>
            <w:tcW w:w="3975" w:type="dxa"/>
            <w:vAlign w:val="bottom"/>
          </w:tcPr>
          <w:p w:rsidR="00132B0E" w:rsidRPr="0072251B" w:rsidRDefault="00905672" w:rsidP="00501F40">
            <w:pPr>
              <w:rPr>
                <w:lang w:val="uk-UA"/>
              </w:rPr>
            </w:pPr>
            <w:r w:rsidRPr="00905672">
              <w:rPr>
                <w:lang w:val="uk-UA"/>
              </w:rPr>
              <w:t>Volume of formed insurance reserves</w:t>
            </w:r>
          </w:p>
        </w:tc>
        <w:tc>
          <w:tcPr>
            <w:tcW w:w="1260" w:type="dxa"/>
            <w:vAlign w:val="bottom"/>
          </w:tcPr>
          <w:p w:rsidR="00132B0E" w:rsidRPr="0072251B" w:rsidRDefault="00132B0E" w:rsidP="005B01E6">
            <w:pPr>
              <w:jc w:val="right"/>
              <w:rPr>
                <w:b/>
                <w:bCs/>
                <w:lang w:val="uk-UA"/>
              </w:rPr>
            </w:pPr>
            <w:r w:rsidRPr="0072251B">
              <w:rPr>
                <w:b/>
                <w:bCs/>
                <w:sz w:val="22"/>
                <w:szCs w:val="22"/>
                <w:lang w:val="uk-UA"/>
              </w:rPr>
              <w:t>20 936,7</w:t>
            </w:r>
          </w:p>
        </w:tc>
        <w:tc>
          <w:tcPr>
            <w:tcW w:w="1260" w:type="dxa"/>
            <w:vAlign w:val="bottom"/>
          </w:tcPr>
          <w:p w:rsidR="00132B0E" w:rsidRPr="0072251B" w:rsidRDefault="00132B0E" w:rsidP="005B01E6">
            <w:pPr>
              <w:jc w:val="right"/>
              <w:rPr>
                <w:b/>
                <w:bCs/>
                <w:lang w:val="uk-UA"/>
              </w:rPr>
            </w:pPr>
            <w:r w:rsidRPr="0072251B">
              <w:rPr>
                <w:b/>
                <w:bCs/>
                <w:sz w:val="22"/>
                <w:szCs w:val="22"/>
                <w:lang w:val="uk-UA"/>
              </w:rPr>
              <w:t>22 864,4</w:t>
            </w:r>
          </w:p>
        </w:tc>
        <w:tc>
          <w:tcPr>
            <w:tcW w:w="1260" w:type="dxa"/>
            <w:vAlign w:val="bottom"/>
          </w:tcPr>
          <w:p w:rsidR="00132B0E" w:rsidRPr="0072251B" w:rsidRDefault="00132B0E">
            <w:pPr>
              <w:jc w:val="right"/>
              <w:rPr>
                <w:b/>
                <w:bCs/>
                <w:lang w:val="uk-UA"/>
              </w:rPr>
            </w:pPr>
            <w:r w:rsidRPr="0072251B">
              <w:rPr>
                <w:b/>
                <w:bCs/>
                <w:sz w:val="22"/>
                <w:szCs w:val="22"/>
                <w:lang w:val="uk-UA"/>
              </w:rPr>
              <w:t>26 975,6</w:t>
            </w:r>
          </w:p>
        </w:tc>
        <w:tc>
          <w:tcPr>
            <w:tcW w:w="1080" w:type="dxa"/>
            <w:vAlign w:val="bottom"/>
          </w:tcPr>
          <w:p w:rsidR="00132B0E" w:rsidRPr="0072251B" w:rsidRDefault="00132B0E">
            <w:pPr>
              <w:jc w:val="right"/>
              <w:rPr>
                <w:b/>
                <w:bCs/>
                <w:lang w:val="uk-UA"/>
              </w:rPr>
            </w:pPr>
            <w:r w:rsidRPr="0072251B">
              <w:rPr>
                <w:b/>
                <w:bCs/>
                <w:sz w:val="22"/>
                <w:szCs w:val="22"/>
                <w:lang w:val="uk-UA"/>
              </w:rPr>
              <w:t>9,2</w:t>
            </w:r>
          </w:p>
        </w:tc>
        <w:tc>
          <w:tcPr>
            <w:tcW w:w="1080" w:type="dxa"/>
            <w:vAlign w:val="bottom"/>
          </w:tcPr>
          <w:p w:rsidR="00132B0E" w:rsidRPr="0072251B" w:rsidRDefault="00132B0E">
            <w:pPr>
              <w:jc w:val="right"/>
              <w:rPr>
                <w:b/>
                <w:bCs/>
                <w:lang w:val="uk-UA"/>
              </w:rPr>
            </w:pPr>
            <w:r w:rsidRPr="0072251B">
              <w:rPr>
                <w:b/>
                <w:bCs/>
                <w:sz w:val="22"/>
                <w:szCs w:val="22"/>
                <w:lang w:val="uk-UA"/>
              </w:rPr>
              <w:t>18,0</w:t>
            </w:r>
          </w:p>
        </w:tc>
      </w:tr>
      <w:tr w:rsidR="00132B0E" w:rsidRPr="0072251B">
        <w:trPr>
          <w:trHeight w:val="238"/>
        </w:trPr>
        <w:tc>
          <w:tcPr>
            <w:tcW w:w="3975" w:type="dxa"/>
            <w:vAlign w:val="bottom"/>
          </w:tcPr>
          <w:p w:rsidR="00132B0E" w:rsidRPr="0072251B" w:rsidRDefault="00905672" w:rsidP="00501F40">
            <w:pPr>
              <w:rPr>
                <w:lang w:val="uk-UA"/>
              </w:rPr>
            </w:pPr>
            <w:r w:rsidRPr="00905672">
              <w:rPr>
                <w:lang w:val="uk-UA"/>
              </w:rPr>
              <w:t>- life insurance reserves</w:t>
            </w:r>
          </w:p>
        </w:tc>
        <w:tc>
          <w:tcPr>
            <w:tcW w:w="1260" w:type="dxa"/>
            <w:vAlign w:val="bottom"/>
          </w:tcPr>
          <w:p w:rsidR="00132B0E" w:rsidRPr="0072251B" w:rsidRDefault="00132B0E" w:rsidP="005B01E6">
            <w:pPr>
              <w:jc w:val="right"/>
              <w:rPr>
                <w:b/>
                <w:bCs/>
                <w:lang w:val="uk-UA"/>
              </w:rPr>
            </w:pPr>
            <w:r w:rsidRPr="0072251B">
              <w:rPr>
                <w:b/>
                <w:bCs/>
                <w:sz w:val="22"/>
                <w:szCs w:val="22"/>
                <w:lang w:val="uk-UA"/>
              </w:rPr>
              <w:t>7 828,2</w:t>
            </w:r>
          </w:p>
        </w:tc>
        <w:tc>
          <w:tcPr>
            <w:tcW w:w="1260" w:type="dxa"/>
            <w:vAlign w:val="bottom"/>
          </w:tcPr>
          <w:p w:rsidR="00132B0E" w:rsidRPr="0072251B" w:rsidRDefault="00132B0E" w:rsidP="005B01E6">
            <w:pPr>
              <w:jc w:val="right"/>
              <w:rPr>
                <w:b/>
                <w:bCs/>
                <w:lang w:val="uk-UA"/>
              </w:rPr>
            </w:pPr>
            <w:r w:rsidRPr="0072251B">
              <w:rPr>
                <w:b/>
                <w:bCs/>
                <w:sz w:val="22"/>
                <w:szCs w:val="22"/>
                <w:lang w:val="uk-UA"/>
              </w:rPr>
              <w:t>8 389,6</w:t>
            </w:r>
          </w:p>
        </w:tc>
        <w:tc>
          <w:tcPr>
            <w:tcW w:w="1260" w:type="dxa"/>
            <w:vAlign w:val="bottom"/>
          </w:tcPr>
          <w:p w:rsidR="00132B0E" w:rsidRPr="0072251B" w:rsidRDefault="00132B0E">
            <w:pPr>
              <w:jc w:val="right"/>
              <w:rPr>
                <w:b/>
                <w:bCs/>
                <w:lang w:val="uk-UA"/>
              </w:rPr>
            </w:pPr>
            <w:r w:rsidRPr="0072251B">
              <w:rPr>
                <w:b/>
                <w:bCs/>
                <w:sz w:val="22"/>
                <w:szCs w:val="22"/>
                <w:lang w:val="uk-UA"/>
              </w:rPr>
              <w:t>9 335,1</w:t>
            </w:r>
          </w:p>
        </w:tc>
        <w:tc>
          <w:tcPr>
            <w:tcW w:w="1080" w:type="dxa"/>
            <w:vAlign w:val="bottom"/>
          </w:tcPr>
          <w:p w:rsidR="00132B0E" w:rsidRPr="0072251B" w:rsidRDefault="00132B0E">
            <w:pPr>
              <w:jc w:val="right"/>
              <w:rPr>
                <w:b/>
                <w:bCs/>
                <w:lang w:val="uk-UA"/>
              </w:rPr>
            </w:pPr>
            <w:r w:rsidRPr="0072251B">
              <w:rPr>
                <w:b/>
                <w:bCs/>
                <w:sz w:val="22"/>
                <w:szCs w:val="22"/>
                <w:lang w:val="uk-UA"/>
              </w:rPr>
              <w:t>7,2</w:t>
            </w:r>
          </w:p>
        </w:tc>
        <w:tc>
          <w:tcPr>
            <w:tcW w:w="1080" w:type="dxa"/>
            <w:vAlign w:val="bottom"/>
          </w:tcPr>
          <w:p w:rsidR="00132B0E" w:rsidRPr="0072251B" w:rsidRDefault="00132B0E">
            <w:pPr>
              <w:jc w:val="right"/>
              <w:rPr>
                <w:b/>
                <w:bCs/>
                <w:lang w:val="uk-UA"/>
              </w:rPr>
            </w:pPr>
            <w:r w:rsidRPr="0072251B">
              <w:rPr>
                <w:b/>
                <w:bCs/>
                <w:sz w:val="22"/>
                <w:szCs w:val="22"/>
                <w:lang w:val="uk-UA"/>
              </w:rPr>
              <w:t>11,3</w:t>
            </w:r>
          </w:p>
        </w:tc>
      </w:tr>
      <w:tr w:rsidR="00132B0E" w:rsidRPr="0072251B">
        <w:trPr>
          <w:trHeight w:val="262"/>
        </w:trPr>
        <w:tc>
          <w:tcPr>
            <w:tcW w:w="3975" w:type="dxa"/>
            <w:vAlign w:val="bottom"/>
          </w:tcPr>
          <w:p w:rsidR="00132B0E" w:rsidRPr="0072251B" w:rsidRDefault="00905672" w:rsidP="00501F40">
            <w:pPr>
              <w:rPr>
                <w:lang w:val="uk-UA"/>
              </w:rPr>
            </w:pPr>
            <w:r w:rsidRPr="00905672">
              <w:rPr>
                <w:lang w:val="uk-UA"/>
              </w:rPr>
              <w:t>- technical reserves</w:t>
            </w:r>
          </w:p>
        </w:tc>
        <w:tc>
          <w:tcPr>
            <w:tcW w:w="1260" w:type="dxa"/>
            <w:vAlign w:val="bottom"/>
          </w:tcPr>
          <w:p w:rsidR="00132B0E" w:rsidRPr="0072251B" w:rsidRDefault="00132B0E" w:rsidP="005B01E6">
            <w:pPr>
              <w:jc w:val="right"/>
              <w:rPr>
                <w:b/>
                <w:bCs/>
                <w:lang w:val="uk-UA"/>
              </w:rPr>
            </w:pPr>
            <w:r w:rsidRPr="0072251B">
              <w:rPr>
                <w:b/>
                <w:bCs/>
                <w:sz w:val="22"/>
                <w:szCs w:val="22"/>
                <w:lang w:val="uk-UA"/>
              </w:rPr>
              <w:t>13 108,5</w:t>
            </w:r>
          </w:p>
        </w:tc>
        <w:tc>
          <w:tcPr>
            <w:tcW w:w="1260" w:type="dxa"/>
            <w:vAlign w:val="bottom"/>
          </w:tcPr>
          <w:p w:rsidR="00132B0E" w:rsidRPr="0072251B" w:rsidRDefault="00132B0E" w:rsidP="005B01E6">
            <w:pPr>
              <w:jc w:val="right"/>
              <w:rPr>
                <w:b/>
                <w:bCs/>
                <w:lang w:val="uk-UA"/>
              </w:rPr>
            </w:pPr>
            <w:r w:rsidRPr="0072251B">
              <w:rPr>
                <w:b/>
                <w:bCs/>
                <w:sz w:val="22"/>
                <w:szCs w:val="22"/>
                <w:lang w:val="uk-UA"/>
              </w:rPr>
              <w:t>14 474,8</w:t>
            </w:r>
          </w:p>
        </w:tc>
        <w:tc>
          <w:tcPr>
            <w:tcW w:w="1260" w:type="dxa"/>
            <w:vAlign w:val="bottom"/>
          </w:tcPr>
          <w:p w:rsidR="00132B0E" w:rsidRPr="0072251B" w:rsidRDefault="00132B0E">
            <w:pPr>
              <w:jc w:val="right"/>
              <w:rPr>
                <w:b/>
                <w:bCs/>
                <w:lang w:val="uk-UA"/>
              </w:rPr>
            </w:pPr>
            <w:r w:rsidRPr="0072251B">
              <w:rPr>
                <w:b/>
                <w:bCs/>
                <w:sz w:val="22"/>
                <w:szCs w:val="22"/>
                <w:lang w:val="uk-UA"/>
              </w:rPr>
              <w:t>17 640,5</w:t>
            </w:r>
          </w:p>
        </w:tc>
        <w:tc>
          <w:tcPr>
            <w:tcW w:w="1080" w:type="dxa"/>
            <w:vAlign w:val="bottom"/>
          </w:tcPr>
          <w:p w:rsidR="00132B0E" w:rsidRPr="0072251B" w:rsidRDefault="00132B0E">
            <w:pPr>
              <w:jc w:val="right"/>
              <w:rPr>
                <w:b/>
                <w:bCs/>
                <w:lang w:val="uk-UA"/>
              </w:rPr>
            </w:pPr>
            <w:r w:rsidRPr="0072251B">
              <w:rPr>
                <w:b/>
                <w:bCs/>
                <w:sz w:val="22"/>
                <w:szCs w:val="22"/>
                <w:lang w:val="uk-UA"/>
              </w:rPr>
              <w:t>10,4</w:t>
            </w:r>
          </w:p>
        </w:tc>
        <w:tc>
          <w:tcPr>
            <w:tcW w:w="1080" w:type="dxa"/>
            <w:vAlign w:val="bottom"/>
          </w:tcPr>
          <w:p w:rsidR="00132B0E" w:rsidRPr="0072251B" w:rsidRDefault="00132B0E">
            <w:pPr>
              <w:jc w:val="right"/>
              <w:rPr>
                <w:b/>
                <w:bCs/>
                <w:lang w:val="uk-UA"/>
              </w:rPr>
            </w:pPr>
            <w:r w:rsidRPr="0072251B">
              <w:rPr>
                <w:b/>
                <w:bCs/>
                <w:sz w:val="22"/>
                <w:szCs w:val="22"/>
                <w:lang w:val="uk-UA"/>
              </w:rPr>
              <w:t>21,9</w:t>
            </w:r>
          </w:p>
        </w:tc>
      </w:tr>
      <w:tr w:rsidR="00132B0E" w:rsidRPr="00911B49">
        <w:trPr>
          <w:trHeight w:val="218"/>
        </w:trPr>
        <w:tc>
          <w:tcPr>
            <w:tcW w:w="9915" w:type="dxa"/>
            <w:gridSpan w:val="6"/>
            <w:vAlign w:val="bottom"/>
          </w:tcPr>
          <w:p w:rsidR="00132B0E" w:rsidRPr="0013099B" w:rsidRDefault="00905672" w:rsidP="00501F40">
            <w:pPr>
              <w:jc w:val="center"/>
              <w:rPr>
                <w:b/>
                <w:bCs/>
                <w:lang w:val="en-US"/>
              </w:rPr>
            </w:pPr>
            <w:r w:rsidRPr="00905672">
              <w:rPr>
                <w:b/>
                <w:bCs/>
                <w:lang w:val="uk-UA"/>
              </w:rPr>
              <w:t>Assets of insurers and aut</w:t>
            </w:r>
            <w:r w:rsidR="0013099B">
              <w:rPr>
                <w:b/>
                <w:bCs/>
                <w:lang w:val="uk-UA"/>
              </w:rPr>
              <w:t xml:space="preserve">horized capital, </w:t>
            </w:r>
            <w:r w:rsidRPr="00905672">
              <w:rPr>
                <w:b/>
                <w:bCs/>
                <w:lang w:val="uk-UA"/>
              </w:rPr>
              <w:t>million</w:t>
            </w:r>
            <w:r w:rsidR="0013099B">
              <w:rPr>
                <w:b/>
                <w:bCs/>
                <w:lang w:val="en-US"/>
              </w:rPr>
              <w:t xml:space="preserve"> UAH</w:t>
            </w:r>
          </w:p>
        </w:tc>
      </w:tr>
      <w:tr w:rsidR="00132B0E" w:rsidRPr="0072251B">
        <w:trPr>
          <w:trHeight w:val="422"/>
        </w:trPr>
        <w:tc>
          <w:tcPr>
            <w:tcW w:w="3975" w:type="dxa"/>
            <w:vAlign w:val="bottom"/>
          </w:tcPr>
          <w:p w:rsidR="00132B0E" w:rsidRPr="0072251B" w:rsidRDefault="00905672" w:rsidP="00501F40">
            <w:pPr>
              <w:rPr>
                <w:lang w:val="uk-UA"/>
              </w:rPr>
            </w:pPr>
            <w:r w:rsidRPr="00905672">
              <w:rPr>
                <w:lang w:val="uk-UA"/>
              </w:rPr>
              <w:t>Total assets of insurers (according to Form 1 (P (C) BO 2))</w:t>
            </w:r>
          </w:p>
        </w:tc>
        <w:tc>
          <w:tcPr>
            <w:tcW w:w="1260" w:type="dxa"/>
            <w:vAlign w:val="bottom"/>
          </w:tcPr>
          <w:p w:rsidR="00132B0E" w:rsidRPr="0072251B" w:rsidRDefault="00132B0E" w:rsidP="005B01E6">
            <w:pPr>
              <w:jc w:val="right"/>
              <w:rPr>
                <w:b/>
                <w:bCs/>
                <w:lang w:val="uk-UA"/>
              </w:rPr>
            </w:pPr>
            <w:r w:rsidRPr="0072251B">
              <w:rPr>
                <w:b/>
                <w:bCs/>
                <w:sz w:val="22"/>
                <w:szCs w:val="22"/>
                <w:lang w:val="uk-UA"/>
              </w:rPr>
              <w:t>56 075,6</w:t>
            </w:r>
          </w:p>
        </w:tc>
        <w:tc>
          <w:tcPr>
            <w:tcW w:w="1260" w:type="dxa"/>
            <w:vAlign w:val="bottom"/>
          </w:tcPr>
          <w:p w:rsidR="00132B0E" w:rsidRPr="0072251B" w:rsidRDefault="00132B0E" w:rsidP="005B01E6">
            <w:pPr>
              <w:jc w:val="right"/>
              <w:rPr>
                <w:b/>
                <w:bCs/>
                <w:lang w:val="uk-UA"/>
              </w:rPr>
            </w:pPr>
            <w:r w:rsidRPr="0072251B">
              <w:rPr>
                <w:b/>
                <w:bCs/>
                <w:sz w:val="22"/>
                <w:szCs w:val="22"/>
                <w:lang w:val="uk-UA"/>
              </w:rPr>
              <w:t>57 381,0</w:t>
            </w:r>
          </w:p>
        </w:tc>
        <w:tc>
          <w:tcPr>
            <w:tcW w:w="1260" w:type="dxa"/>
            <w:vAlign w:val="bottom"/>
          </w:tcPr>
          <w:p w:rsidR="00132B0E" w:rsidRPr="0072251B" w:rsidRDefault="00132B0E">
            <w:pPr>
              <w:jc w:val="right"/>
              <w:rPr>
                <w:b/>
                <w:bCs/>
                <w:lang w:val="uk-UA"/>
              </w:rPr>
            </w:pPr>
            <w:r w:rsidRPr="0072251B">
              <w:rPr>
                <w:b/>
                <w:bCs/>
                <w:sz w:val="22"/>
                <w:szCs w:val="22"/>
                <w:lang w:val="uk-UA"/>
              </w:rPr>
              <w:t>63 493,3</w:t>
            </w:r>
          </w:p>
        </w:tc>
        <w:tc>
          <w:tcPr>
            <w:tcW w:w="1080" w:type="dxa"/>
            <w:vAlign w:val="bottom"/>
          </w:tcPr>
          <w:p w:rsidR="00132B0E" w:rsidRPr="0072251B" w:rsidRDefault="00132B0E">
            <w:pPr>
              <w:jc w:val="right"/>
              <w:rPr>
                <w:b/>
                <w:bCs/>
                <w:lang w:val="uk-UA"/>
              </w:rPr>
            </w:pPr>
            <w:r w:rsidRPr="0072251B">
              <w:rPr>
                <w:b/>
                <w:bCs/>
                <w:sz w:val="22"/>
                <w:szCs w:val="22"/>
                <w:lang w:val="uk-UA"/>
              </w:rPr>
              <w:t>2,3</w:t>
            </w:r>
          </w:p>
        </w:tc>
        <w:tc>
          <w:tcPr>
            <w:tcW w:w="1080" w:type="dxa"/>
            <w:vAlign w:val="bottom"/>
          </w:tcPr>
          <w:p w:rsidR="00132B0E" w:rsidRPr="0072251B" w:rsidRDefault="00132B0E">
            <w:pPr>
              <w:jc w:val="right"/>
              <w:rPr>
                <w:b/>
                <w:bCs/>
                <w:lang w:val="uk-UA"/>
              </w:rPr>
            </w:pPr>
            <w:r w:rsidRPr="0072251B">
              <w:rPr>
                <w:b/>
                <w:bCs/>
                <w:sz w:val="22"/>
                <w:szCs w:val="22"/>
                <w:lang w:val="uk-UA"/>
              </w:rPr>
              <w:t>10,7</w:t>
            </w:r>
          </w:p>
        </w:tc>
      </w:tr>
      <w:tr w:rsidR="00132B0E" w:rsidRPr="0072251B">
        <w:trPr>
          <w:trHeight w:val="915"/>
        </w:trPr>
        <w:tc>
          <w:tcPr>
            <w:tcW w:w="3975" w:type="dxa"/>
            <w:vAlign w:val="bottom"/>
          </w:tcPr>
          <w:p w:rsidR="00132B0E" w:rsidRPr="0072251B" w:rsidRDefault="00905672" w:rsidP="00501F40">
            <w:pPr>
              <w:rPr>
                <w:lang w:val="uk-UA"/>
              </w:rPr>
            </w:pPr>
            <w:r w:rsidRPr="00905672">
              <w:rPr>
                <w:lang w:val="uk-UA"/>
              </w:rPr>
              <w:t>Assets defined in art. 31 of the Law of Ukraine "On Insurance" for the presentation of insurance reserves</w:t>
            </w:r>
          </w:p>
        </w:tc>
        <w:tc>
          <w:tcPr>
            <w:tcW w:w="1260" w:type="dxa"/>
            <w:vAlign w:val="bottom"/>
          </w:tcPr>
          <w:p w:rsidR="00132B0E" w:rsidRPr="0072251B" w:rsidRDefault="00132B0E" w:rsidP="005B01E6">
            <w:pPr>
              <w:jc w:val="right"/>
              <w:rPr>
                <w:b/>
                <w:bCs/>
                <w:lang w:val="uk-UA"/>
              </w:rPr>
            </w:pPr>
            <w:r w:rsidRPr="0072251B">
              <w:rPr>
                <w:b/>
                <w:bCs/>
                <w:sz w:val="22"/>
                <w:szCs w:val="22"/>
                <w:lang w:val="uk-UA"/>
              </w:rPr>
              <w:t>35 071,9</w:t>
            </w:r>
          </w:p>
        </w:tc>
        <w:tc>
          <w:tcPr>
            <w:tcW w:w="1260" w:type="dxa"/>
            <w:vAlign w:val="bottom"/>
          </w:tcPr>
          <w:p w:rsidR="00132B0E" w:rsidRPr="0072251B" w:rsidRDefault="00132B0E" w:rsidP="005B01E6">
            <w:pPr>
              <w:jc w:val="right"/>
              <w:rPr>
                <w:b/>
                <w:bCs/>
                <w:lang w:val="uk-UA"/>
              </w:rPr>
            </w:pPr>
            <w:r w:rsidRPr="0072251B">
              <w:rPr>
                <w:b/>
                <w:bCs/>
                <w:sz w:val="22"/>
                <w:szCs w:val="22"/>
                <w:lang w:val="uk-UA"/>
              </w:rPr>
              <w:t>36 084,6</w:t>
            </w:r>
          </w:p>
        </w:tc>
        <w:tc>
          <w:tcPr>
            <w:tcW w:w="1260" w:type="dxa"/>
            <w:vAlign w:val="bottom"/>
          </w:tcPr>
          <w:p w:rsidR="00132B0E" w:rsidRPr="0072251B" w:rsidRDefault="00132B0E">
            <w:pPr>
              <w:jc w:val="right"/>
              <w:rPr>
                <w:b/>
                <w:bCs/>
                <w:lang w:val="uk-UA"/>
              </w:rPr>
            </w:pPr>
            <w:r w:rsidRPr="0072251B">
              <w:rPr>
                <w:b/>
                <w:bCs/>
                <w:sz w:val="22"/>
                <w:szCs w:val="22"/>
                <w:lang w:val="uk-UA"/>
              </w:rPr>
              <w:t>40 666,5</w:t>
            </w:r>
          </w:p>
        </w:tc>
        <w:tc>
          <w:tcPr>
            <w:tcW w:w="1080" w:type="dxa"/>
            <w:vAlign w:val="bottom"/>
          </w:tcPr>
          <w:p w:rsidR="00132B0E" w:rsidRPr="0072251B" w:rsidRDefault="00132B0E">
            <w:pPr>
              <w:jc w:val="right"/>
              <w:rPr>
                <w:b/>
                <w:bCs/>
                <w:lang w:val="uk-UA"/>
              </w:rPr>
            </w:pPr>
            <w:r w:rsidRPr="0072251B">
              <w:rPr>
                <w:b/>
                <w:bCs/>
                <w:sz w:val="22"/>
                <w:szCs w:val="22"/>
                <w:lang w:val="uk-UA"/>
              </w:rPr>
              <w:t>2,9</w:t>
            </w:r>
          </w:p>
        </w:tc>
        <w:tc>
          <w:tcPr>
            <w:tcW w:w="1080" w:type="dxa"/>
            <w:vAlign w:val="bottom"/>
          </w:tcPr>
          <w:p w:rsidR="00132B0E" w:rsidRPr="0072251B" w:rsidRDefault="00132B0E">
            <w:pPr>
              <w:jc w:val="right"/>
              <w:rPr>
                <w:b/>
                <w:bCs/>
                <w:lang w:val="uk-UA"/>
              </w:rPr>
            </w:pPr>
            <w:r w:rsidRPr="0072251B">
              <w:rPr>
                <w:b/>
                <w:bCs/>
                <w:sz w:val="22"/>
                <w:szCs w:val="22"/>
                <w:lang w:val="uk-UA"/>
              </w:rPr>
              <w:t>12,7</w:t>
            </w:r>
          </w:p>
        </w:tc>
      </w:tr>
      <w:tr w:rsidR="00132B0E" w:rsidRPr="0072251B">
        <w:trPr>
          <w:trHeight w:val="127"/>
        </w:trPr>
        <w:tc>
          <w:tcPr>
            <w:tcW w:w="3975" w:type="dxa"/>
            <w:vAlign w:val="bottom"/>
          </w:tcPr>
          <w:p w:rsidR="00132B0E" w:rsidRPr="0072251B" w:rsidRDefault="00905672" w:rsidP="00501F40">
            <w:pPr>
              <w:rPr>
                <w:lang w:val="uk-UA"/>
              </w:rPr>
            </w:pPr>
            <w:r w:rsidRPr="00905672">
              <w:rPr>
                <w:lang w:val="uk-UA"/>
              </w:rPr>
              <w:t>The amount of paid-in authorized capital</w:t>
            </w:r>
          </w:p>
        </w:tc>
        <w:tc>
          <w:tcPr>
            <w:tcW w:w="1260" w:type="dxa"/>
            <w:vAlign w:val="bottom"/>
          </w:tcPr>
          <w:p w:rsidR="00132B0E" w:rsidRPr="0072251B" w:rsidRDefault="00132B0E" w:rsidP="005B01E6">
            <w:pPr>
              <w:jc w:val="right"/>
              <w:rPr>
                <w:b/>
                <w:bCs/>
                <w:lang w:val="uk-UA"/>
              </w:rPr>
            </w:pPr>
            <w:r w:rsidRPr="0072251B">
              <w:rPr>
                <w:b/>
                <w:bCs/>
                <w:sz w:val="22"/>
                <w:szCs w:val="22"/>
                <w:lang w:val="uk-UA"/>
              </w:rPr>
              <w:t>12 661,6</w:t>
            </w:r>
          </w:p>
        </w:tc>
        <w:tc>
          <w:tcPr>
            <w:tcW w:w="1260" w:type="dxa"/>
            <w:vAlign w:val="bottom"/>
          </w:tcPr>
          <w:p w:rsidR="00132B0E" w:rsidRPr="0072251B" w:rsidRDefault="00132B0E" w:rsidP="005B01E6">
            <w:pPr>
              <w:jc w:val="right"/>
              <w:rPr>
                <w:b/>
                <w:bCs/>
                <w:lang w:val="uk-UA"/>
              </w:rPr>
            </w:pPr>
            <w:r w:rsidRPr="0072251B">
              <w:rPr>
                <w:b/>
                <w:bCs/>
                <w:sz w:val="22"/>
                <w:szCs w:val="22"/>
                <w:lang w:val="uk-UA"/>
              </w:rPr>
              <w:t>12 831,3</w:t>
            </w:r>
          </w:p>
        </w:tc>
        <w:tc>
          <w:tcPr>
            <w:tcW w:w="1260" w:type="dxa"/>
            <w:vAlign w:val="bottom"/>
          </w:tcPr>
          <w:p w:rsidR="00132B0E" w:rsidRPr="0072251B" w:rsidRDefault="00132B0E">
            <w:pPr>
              <w:jc w:val="right"/>
              <w:rPr>
                <w:b/>
                <w:bCs/>
                <w:lang w:val="uk-UA"/>
              </w:rPr>
            </w:pPr>
            <w:r w:rsidRPr="0072251B">
              <w:rPr>
                <w:b/>
                <w:bCs/>
                <w:sz w:val="22"/>
                <w:szCs w:val="22"/>
                <w:lang w:val="uk-UA"/>
              </w:rPr>
              <w:t>12 636,6</w:t>
            </w:r>
          </w:p>
        </w:tc>
        <w:tc>
          <w:tcPr>
            <w:tcW w:w="1080" w:type="dxa"/>
            <w:vAlign w:val="bottom"/>
          </w:tcPr>
          <w:p w:rsidR="00132B0E" w:rsidRPr="0072251B" w:rsidRDefault="00132B0E">
            <w:pPr>
              <w:jc w:val="right"/>
              <w:rPr>
                <w:b/>
                <w:bCs/>
                <w:lang w:val="uk-UA"/>
              </w:rPr>
            </w:pPr>
            <w:r w:rsidRPr="0072251B">
              <w:rPr>
                <w:b/>
                <w:bCs/>
                <w:sz w:val="22"/>
                <w:szCs w:val="22"/>
                <w:lang w:val="uk-UA"/>
              </w:rPr>
              <w:t>1,3</w:t>
            </w:r>
          </w:p>
        </w:tc>
        <w:tc>
          <w:tcPr>
            <w:tcW w:w="1080" w:type="dxa"/>
            <w:vAlign w:val="bottom"/>
          </w:tcPr>
          <w:p w:rsidR="00132B0E" w:rsidRPr="0072251B" w:rsidRDefault="00132B0E">
            <w:pPr>
              <w:jc w:val="right"/>
              <w:rPr>
                <w:b/>
                <w:bCs/>
                <w:lang w:val="uk-UA"/>
              </w:rPr>
            </w:pPr>
            <w:r w:rsidRPr="0072251B">
              <w:rPr>
                <w:b/>
                <w:bCs/>
                <w:sz w:val="22"/>
                <w:szCs w:val="22"/>
                <w:lang w:val="uk-UA"/>
              </w:rPr>
              <w:t>-1,5</w:t>
            </w:r>
          </w:p>
        </w:tc>
      </w:tr>
    </w:tbl>
    <w:p w:rsidR="00132B0E" w:rsidRPr="00905672" w:rsidRDefault="00132B0E" w:rsidP="00236E15">
      <w:pPr>
        <w:spacing w:line="360" w:lineRule="auto"/>
        <w:ind w:left="720"/>
        <w:jc w:val="both"/>
        <w:rPr>
          <w:sz w:val="28"/>
          <w:szCs w:val="28"/>
          <w:lang w:val="uk-UA"/>
        </w:rPr>
      </w:pPr>
    </w:p>
    <w:bookmarkEnd w:id="0"/>
    <w:p w:rsidR="00905672" w:rsidRPr="0013099B" w:rsidRDefault="00905672" w:rsidP="00905672">
      <w:pPr>
        <w:ind w:firstLine="708"/>
        <w:rPr>
          <w:b/>
          <w:sz w:val="28"/>
          <w:szCs w:val="28"/>
          <w:lang w:val="uk-UA"/>
        </w:rPr>
      </w:pPr>
      <w:r w:rsidRPr="0013099B">
        <w:rPr>
          <w:b/>
          <w:sz w:val="28"/>
          <w:szCs w:val="28"/>
          <w:lang w:val="uk-UA"/>
        </w:rPr>
        <w:t>Insurance premiums</w:t>
      </w:r>
    </w:p>
    <w:p w:rsidR="00905672" w:rsidRPr="00905672" w:rsidRDefault="00905672" w:rsidP="00905672">
      <w:pPr>
        <w:ind w:firstLine="708"/>
        <w:jc w:val="right"/>
        <w:rPr>
          <w:sz w:val="28"/>
          <w:szCs w:val="28"/>
          <w:lang w:val="uk-UA"/>
        </w:rPr>
      </w:pPr>
    </w:p>
    <w:p w:rsidR="00905672" w:rsidRPr="00905672" w:rsidRDefault="00905672" w:rsidP="0013099B">
      <w:pPr>
        <w:ind w:firstLine="708"/>
        <w:rPr>
          <w:sz w:val="28"/>
          <w:szCs w:val="28"/>
          <w:lang w:val="uk-UA"/>
        </w:rPr>
      </w:pPr>
      <w:r w:rsidRPr="00905672">
        <w:rPr>
          <w:sz w:val="28"/>
          <w:szCs w:val="28"/>
          <w:lang w:val="uk-UA"/>
        </w:rPr>
        <w:t>Gross insurance premiums received by insurers in insurance and reinsurance of risks from insurers and rei</w:t>
      </w:r>
      <w:r w:rsidR="0013099B">
        <w:rPr>
          <w:sz w:val="28"/>
          <w:szCs w:val="28"/>
          <w:lang w:val="uk-UA"/>
        </w:rPr>
        <w:t xml:space="preserve">nsurers in 2018 amounted to </w:t>
      </w:r>
      <w:r w:rsidRPr="00905672">
        <w:rPr>
          <w:sz w:val="28"/>
          <w:szCs w:val="28"/>
          <w:lang w:val="uk-UA"/>
        </w:rPr>
        <w:t>49 367.5 million</w:t>
      </w:r>
      <w:r w:rsidR="0013099B">
        <w:rPr>
          <w:sz w:val="28"/>
          <w:szCs w:val="28"/>
          <w:lang w:val="en-US"/>
        </w:rPr>
        <w:t xml:space="preserve"> UAH</w:t>
      </w:r>
      <w:r w:rsidR="0013099B">
        <w:rPr>
          <w:sz w:val="28"/>
          <w:szCs w:val="28"/>
          <w:lang w:val="uk-UA"/>
        </w:rPr>
        <w:t xml:space="preserve">, which is </w:t>
      </w:r>
      <w:r w:rsidRPr="00905672">
        <w:rPr>
          <w:sz w:val="28"/>
          <w:szCs w:val="28"/>
          <w:lang w:val="uk-UA"/>
        </w:rPr>
        <w:t>5 935.7 million</w:t>
      </w:r>
      <w:r w:rsidR="0013099B">
        <w:rPr>
          <w:sz w:val="28"/>
          <w:szCs w:val="28"/>
          <w:lang w:val="en-US"/>
        </w:rPr>
        <w:t xml:space="preserve"> UAH</w:t>
      </w:r>
      <w:r w:rsidRPr="00905672">
        <w:rPr>
          <w:sz w:val="28"/>
          <w:szCs w:val="28"/>
          <w:lang w:val="uk-UA"/>
        </w:rPr>
        <w:t xml:space="preserve"> more compared with 20</w:t>
      </w:r>
      <w:r w:rsidR="0013099B">
        <w:rPr>
          <w:sz w:val="28"/>
          <w:szCs w:val="28"/>
          <w:lang w:val="uk-UA"/>
        </w:rPr>
        <w:t>17 and by 14,197.2 million UAH</w:t>
      </w:r>
      <w:r w:rsidR="0013099B">
        <w:rPr>
          <w:sz w:val="28"/>
          <w:szCs w:val="28"/>
          <w:lang w:val="en-US"/>
        </w:rPr>
        <w:t xml:space="preserve"> </w:t>
      </w:r>
      <w:r w:rsidRPr="00905672">
        <w:rPr>
          <w:sz w:val="28"/>
          <w:szCs w:val="28"/>
          <w:lang w:val="uk-UA"/>
        </w:rPr>
        <w:t>more compared to 2016.</w:t>
      </w:r>
    </w:p>
    <w:p w:rsidR="00132B0E" w:rsidRPr="0072251B" w:rsidRDefault="00132B0E" w:rsidP="000C08E5">
      <w:pPr>
        <w:ind w:firstLine="708"/>
        <w:jc w:val="right"/>
        <w:rPr>
          <w:i/>
          <w:sz w:val="12"/>
          <w:szCs w:val="12"/>
          <w:lang w:val="uk-UA"/>
        </w:rPr>
      </w:pPr>
    </w:p>
    <w:p w:rsidR="00132B0E" w:rsidRPr="00F700F2" w:rsidRDefault="001D236C" w:rsidP="000C08E5">
      <w:pPr>
        <w:ind w:firstLine="708"/>
        <w:jc w:val="right"/>
        <w:rPr>
          <w:i/>
          <w:lang w:val="en-US"/>
        </w:rPr>
      </w:pPr>
      <w:r>
        <w:rPr>
          <w:i/>
          <w:lang w:val="en-US"/>
        </w:rPr>
        <w:t>Table</w:t>
      </w:r>
      <w:r w:rsidR="00F700F2">
        <w:rPr>
          <w:i/>
          <w:lang w:val="uk-UA"/>
        </w:rPr>
        <w:t xml:space="preserve"> </w:t>
      </w:r>
      <w:r w:rsidR="00F700F2">
        <w:rPr>
          <w:i/>
          <w:lang w:val="en-US"/>
        </w:rPr>
        <w:t>2</w:t>
      </w:r>
    </w:p>
    <w:p w:rsidR="00132B0E" w:rsidRPr="0072251B" w:rsidRDefault="001D236C" w:rsidP="000C08E5">
      <w:pPr>
        <w:jc w:val="center"/>
        <w:rPr>
          <w:b/>
          <w:sz w:val="28"/>
          <w:szCs w:val="28"/>
          <w:lang w:val="uk-UA"/>
        </w:rPr>
      </w:pPr>
      <w:r w:rsidRPr="001D236C">
        <w:rPr>
          <w:b/>
          <w:sz w:val="28"/>
          <w:szCs w:val="28"/>
          <w:lang w:val="uk-UA"/>
        </w:rPr>
        <w:t>Structure of receipt of gross insurance premiums for 2016 - 2018 years</w:t>
      </w:r>
    </w:p>
    <w:tbl>
      <w:tblPr>
        <w:tblW w:w="9795" w:type="dxa"/>
        <w:tblInd w:w="93" w:type="dxa"/>
        <w:tblLook w:val="0000" w:firstRow="0" w:lastRow="0" w:firstColumn="0" w:lastColumn="0" w:noHBand="0" w:noVBand="0"/>
      </w:tblPr>
      <w:tblGrid>
        <w:gridCol w:w="4515"/>
        <w:gridCol w:w="1080"/>
        <w:gridCol w:w="1080"/>
        <w:gridCol w:w="1080"/>
        <w:gridCol w:w="1080"/>
        <w:gridCol w:w="960"/>
      </w:tblGrid>
      <w:tr w:rsidR="00132B0E" w:rsidRPr="0072251B" w:rsidTr="000C08E5">
        <w:trPr>
          <w:trHeight w:val="315"/>
        </w:trPr>
        <w:tc>
          <w:tcPr>
            <w:tcW w:w="4515" w:type="dxa"/>
            <w:vMerge w:val="restart"/>
            <w:tcBorders>
              <w:top w:val="single" w:sz="4" w:space="0" w:color="auto"/>
              <w:left w:val="single" w:sz="4" w:space="0" w:color="auto"/>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32B0E" w:rsidRPr="0072251B" w:rsidRDefault="00132B0E">
            <w:pPr>
              <w:jc w:val="center"/>
              <w:rPr>
                <w:b/>
                <w:bCs/>
                <w:lang w:val="uk-UA"/>
              </w:rPr>
            </w:pPr>
            <w:r w:rsidRPr="0072251B">
              <w:rPr>
                <w:b/>
                <w:bCs/>
                <w:lang w:val="uk-UA"/>
              </w:rPr>
              <w:t>2016</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32B0E" w:rsidRPr="0072251B" w:rsidRDefault="00132B0E">
            <w:pPr>
              <w:jc w:val="center"/>
              <w:rPr>
                <w:b/>
                <w:bCs/>
                <w:lang w:val="uk-UA"/>
              </w:rPr>
            </w:pPr>
            <w:r w:rsidRPr="0072251B">
              <w:rPr>
                <w:b/>
                <w:bCs/>
                <w:lang w:val="uk-UA"/>
              </w:rPr>
              <w:t>2017</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32B0E" w:rsidRPr="0072251B" w:rsidRDefault="00132B0E">
            <w:pPr>
              <w:jc w:val="center"/>
              <w:rPr>
                <w:b/>
                <w:bCs/>
                <w:lang w:val="uk-UA"/>
              </w:rPr>
            </w:pPr>
            <w:r w:rsidRPr="0072251B">
              <w:rPr>
                <w:b/>
                <w:bCs/>
                <w:lang w:val="uk-UA"/>
              </w:rPr>
              <w:t>2018</w:t>
            </w:r>
          </w:p>
        </w:tc>
        <w:tc>
          <w:tcPr>
            <w:tcW w:w="2040" w:type="dxa"/>
            <w:gridSpan w:val="2"/>
            <w:tcBorders>
              <w:top w:val="single" w:sz="4" w:space="0" w:color="auto"/>
              <w:left w:val="nil"/>
              <w:bottom w:val="single" w:sz="4" w:space="0" w:color="auto"/>
              <w:right w:val="single" w:sz="4" w:space="0" w:color="auto"/>
            </w:tcBorders>
            <w:vAlign w:val="bottom"/>
          </w:tcPr>
          <w:p w:rsidR="00132B0E" w:rsidRPr="001D236C" w:rsidRDefault="001D236C">
            <w:pPr>
              <w:jc w:val="center"/>
              <w:rPr>
                <w:b/>
                <w:bCs/>
                <w:lang w:val="en-US"/>
              </w:rPr>
            </w:pPr>
            <w:r>
              <w:rPr>
                <w:b/>
                <w:bCs/>
                <w:lang w:val="en-US"/>
              </w:rPr>
              <w:t>Growth rates</w:t>
            </w:r>
          </w:p>
        </w:tc>
      </w:tr>
      <w:tr w:rsidR="00132B0E" w:rsidRPr="0072251B" w:rsidTr="000C08E5">
        <w:trPr>
          <w:trHeight w:val="630"/>
        </w:trPr>
        <w:tc>
          <w:tcPr>
            <w:tcW w:w="4515"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b/>
                <w:bCs/>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b/>
                <w:bCs/>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b/>
                <w:bCs/>
                <w:lang w:val="uk-UA"/>
              </w:rPr>
            </w:pPr>
          </w:p>
        </w:tc>
        <w:tc>
          <w:tcPr>
            <w:tcW w:w="1080" w:type="dxa"/>
            <w:tcBorders>
              <w:top w:val="nil"/>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2017/ 2016</w:t>
            </w:r>
          </w:p>
        </w:tc>
        <w:tc>
          <w:tcPr>
            <w:tcW w:w="960" w:type="dxa"/>
            <w:tcBorders>
              <w:top w:val="nil"/>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2018/ 2017</w:t>
            </w:r>
          </w:p>
        </w:tc>
      </w:tr>
      <w:tr w:rsidR="00132B0E" w:rsidRPr="0072251B" w:rsidTr="000C08E5">
        <w:trPr>
          <w:trHeight w:val="315"/>
        </w:trPr>
        <w:tc>
          <w:tcPr>
            <w:tcW w:w="4515"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b/>
                <w:bCs/>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b/>
                <w:bCs/>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pPr>
              <w:rPr>
                <w:b/>
                <w:bCs/>
                <w:lang w:val="uk-UA"/>
              </w:rPr>
            </w:pPr>
          </w:p>
        </w:tc>
        <w:tc>
          <w:tcPr>
            <w:tcW w:w="1080" w:type="dxa"/>
            <w:tcBorders>
              <w:top w:val="nil"/>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w:t>
            </w:r>
          </w:p>
        </w:tc>
        <w:tc>
          <w:tcPr>
            <w:tcW w:w="960" w:type="dxa"/>
            <w:tcBorders>
              <w:top w:val="nil"/>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w:t>
            </w:r>
          </w:p>
        </w:tc>
      </w:tr>
      <w:tr w:rsidR="00132B0E" w:rsidRPr="0072251B" w:rsidTr="00665EF6">
        <w:trPr>
          <w:trHeight w:val="411"/>
        </w:trPr>
        <w:tc>
          <w:tcPr>
            <w:tcW w:w="4515" w:type="dxa"/>
            <w:tcBorders>
              <w:top w:val="nil"/>
              <w:left w:val="single" w:sz="4" w:space="0" w:color="auto"/>
              <w:bottom w:val="single" w:sz="4" w:space="0" w:color="auto"/>
              <w:right w:val="single" w:sz="4" w:space="0" w:color="auto"/>
            </w:tcBorders>
            <w:vAlign w:val="bottom"/>
          </w:tcPr>
          <w:p w:rsidR="00132B0E" w:rsidRPr="0072251B" w:rsidRDefault="0013099B" w:rsidP="00025CF1">
            <w:pPr>
              <w:rPr>
                <w:lang w:val="uk-UA"/>
              </w:rPr>
            </w:pPr>
            <w:r>
              <w:rPr>
                <w:lang w:val="uk-UA"/>
              </w:rPr>
              <w:t>Gross insurance premiums, m</w:t>
            </w:r>
            <w:r>
              <w:rPr>
                <w:lang w:val="en-US"/>
              </w:rPr>
              <w:t xml:space="preserve">illion </w:t>
            </w:r>
            <w:r w:rsidR="001D236C" w:rsidRPr="001D236C">
              <w:rPr>
                <w:lang w:val="uk-UA"/>
              </w:rPr>
              <w:t>UAH, including:</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35 170,3</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43 431,8</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49 367,5</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23,5</w:t>
            </w:r>
          </w:p>
        </w:tc>
        <w:tc>
          <w:tcPr>
            <w:tcW w:w="96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13,7</w:t>
            </w:r>
          </w:p>
        </w:tc>
      </w:tr>
      <w:tr w:rsidR="00132B0E" w:rsidRPr="0072251B" w:rsidTr="00665EF6">
        <w:trPr>
          <w:trHeight w:val="352"/>
        </w:trPr>
        <w:tc>
          <w:tcPr>
            <w:tcW w:w="4515" w:type="dxa"/>
            <w:tcBorders>
              <w:top w:val="nil"/>
              <w:left w:val="single" w:sz="4" w:space="0" w:color="auto"/>
              <w:bottom w:val="single" w:sz="4" w:space="0" w:color="auto"/>
              <w:right w:val="single" w:sz="4" w:space="0" w:color="auto"/>
            </w:tcBorders>
            <w:vAlign w:val="bottom"/>
          </w:tcPr>
          <w:p w:rsidR="00132B0E" w:rsidRPr="001D236C" w:rsidRDefault="001D236C" w:rsidP="00025CF1">
            <w:pPr>
              <w:rPr>
                <w:lang w:val="en-US"/>
              </w:rPr>
            </w:pPr>
            <w:r>
              <w:rPr>
                <w:lang w:val="en-US"/>
              </w:rPr>
              <w:t>From insured individuals</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13 220,0</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15 555,6</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18 431,0</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17,7</w:t>
            </w:r>
          </w:p>
        </w:tc>
        <w:tc>
          <w:tcPr>
            <w:tcW w:w="96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18,5</w:t>
            </w:r>
          </w:p>
        </w:tc>
      </w:tr>
      <w:tr w:rsidR="00132B0E" w:rsidRPr="0072251B" w:rsidTr="00665EF6">
        <w:trPr>
          <w:trHeight w:val="361"/>
        </w:trPr>
        <w:tc>
          <w:tcPr>
            <w:tcW w:w="4515" w:type="dxa"/>
            <w:tcBorders>
              <w:top w:val="nil"/>
              <w:left w:val="single" w:sz="4" w:space="0" w:color="auto"/>
              <w:bottom w:val="single" w:sz="4" w:space="0" w:color="auto"/>
              <w:right w:val="single" w:sz="4" w:space="0" w:color="auto"/>
            </w:tcBorders>
            <w:vAlign w:val="bottom"/>
          </w:tcPr>
          <w:p w:rsidR="00132B0E" w:rsidRPr="001D236C" w:rsidRDefault="001D236C" w:rsidP="00025CF1">
            <w:pPr>
              <w:rPr>
                <w:lang w:val="en-US"/>
              </w:rPr>
            </w:pPr>
            <w:r>
              <w:rPr>
                <w:lang w:val="en-US"/>
              </w:rPr>
              <w:t>From legal entities</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12 879,6</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12 937,7</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17 348,1</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0,5</w:t>
            </w:r>
          </w:p>
        </w:tc>
        <w:tc>
          <w:tcPr>
            <w:tcW w:w="96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34,1</w:t>
            </w:r>
          </w:p>
        </w:tc>
      </w:tr>
      <w:tr w:rsidR="00132B0E" w:rsidRPr="0072251B" w:rsidTr="00665EF6">
        <w:trPr>
          <w:trHeight w:val="358"/>
        </w:trPr>
        <w:tc>
          <w:tcPr>
            <w:tcW w:w="4515" w:type="dxa"/>
            <w:tcBorders>
              <w:top w:val="nil"/>
              <w:left w:val="single" w:sz="4" w:space="0" w:color="auto"/>
              <w:bottom w:val="single" w:sz="4" w:space="0" w:color="auto"/>
              <w:right w:val="single" w:sz="4" w:space="0" w:color="auto"/>
            </w:tcBorders>
            <w:vAlign w:val="bottom"/>
          </w:tcPr>
          <w:p w:rsidR="00132B0E" w:rsidRPr="001D236C" w:rsidRDefault="001D236C" w:rsidP="00025CF1">
            <w:pPr>
              <w:rPr>
                <w:lang w:val="en-US"/>
              </w:rPr>
            </w:pPr>
            <w:r>
              <w:rPr>
                <w:lang w:val="en-US"/>
              </w:rPr>
              <w:t>reinsurers</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9 070,7</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14 938,5</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13 588,4</w:t>
            </w:r>
          </w:p>
        </w:tc>
        <w:tc>
          <w:tcPr>
            <w:tcW w:w="108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64,7</w:t>
            </w:r>
          </w:p>
        </w:tc>
        <w:tc>
          <w:tcPr>
            <w:tcW w:w="960" w:type="dxa"/>
            <w:tcBorders>
              <w:top w:val="nil"/>
              <w:left w:val="nil"/>
              <w:bottom w:val="single" w:sz="4" w:space="0" w:color="auto"/>
              <w:right w:val="single" w:sz="4" w:space="0" w:color="auto"/>
            </w:tcBorders>
            <w:noWrap/>
            <w:vAlign w:val="bottom"/>
          </w:tcPr>
          <w:p w:rsidR="00132B0E" w:rsidRPr="0072251B" w:rsidRDefault="00132B0E">
            <w:pPr>
              <w:jc w:val="right"/>
              <w:rPr>
                <w:lang w:val="uk-UA"/>
              </w:rPr>
            </w:pPr>
            <w:r w:rsidRPr="0072251B">
              <w:rPr>
                <w:lang w:val="uk-UA"/>
              </w:rPr>
              <w:t>-9,0</w:t>
            </w:r>
          </w:p>
        </w:tc>
      </w:tr>
    </w:tbl>
    <w:p w:rsidR="00132B0E" w:rsidRPr="0072251B" w:rsidRDefault="00132B0E" w:rsidP="00F373D4">
      <w:pPr>
        <w:ind w:firstLine="720"/>
        <w:jc w:val="both"/>
        <w:rPr>
          <w:sz w:val="28"/>
          <w:szCs w:val="28"/>
          <w:lang w:val="uk-UA"/>
        </w:rPr>
      </w:pPr>
    </w:p>
    <w:p w:rsidR="001D236C" w:rsidRPr="00347FF8" w:rsidRDefault="001D236C" w:rsidP="001D236C">
      <w:pPr>
        <w:rPr>
          <w:rStyle w:val="tlid-translation"/>
          <w:sz w:val="28"/>
          <w:szCs w:val="28"/>
          <w:lang w:val="en-US"/>
        </w:rPr>
      </w:pPr>
      <w:r w:rsidRPr="00347FF8">
        <w:rPr>
          <w:rStyle w:val="tlid-translation"/>
          <w:sz w:val="28"/>
          <w:szCs w:val="28"/>
          <w:lang w:val="en-US"/>
        </w:rPr>
        <w:t xml:space="preserve">For 12 months of 2018, the amount of gross premiums received by insurers for types of insurance, other than </w:t>
      </w:r>
      <w:r w:rsidR="0013099B">
        <w:rPr>
          <w:rStyle w:val="tlid-translation"/>
          <w:sz w:val="28"/>
          <w:szCs w:val="28"/>
          <w:lang w:val="en-US"/>
        </w:rPr>
        <w:t>life insurance, amounted to 45 461.4 million UAH</w:t>
      </w:r>
      <w:r w:rsidRPr="00347FF8">
        <w:rPr>
          <w:rStyle w:val="tlid-translation"/>
          <w:sz w:val="28"/>
          <w:szCs w:val="28"/>
          <w:lang w:val="en-US"/>
        </w:rPr>
        <w:t xml:space="preserve"> (or 92.1% of the total amount of insurance premiums)</w:t>
      </w:r>
      <w:r w:rsidR="0013099B">
        <w:rPr>
          <w:rStyle w:val="tlid-translation"/>
          <w:sz w:val="28"/>
          <w:szCs w:val="28"/>
          <w:lang w:val="en-US"/>
        </w:rPr>
        <w:t xml:space="preserve">, and from life insurance - </w:t>
      </w:r>
      <w:r w:rsidRPr="00347FF8">
        <w:rPr>
          <w:rStyle w:val="tlid-translation"/>
          <w:sz w:val="28"/>
          <w:szCs w:val="28"/>
          <w:lang w:val="en-US"/>
        </w:rPr>
        <w:t>3 906.1 million</w:t>
      </w:r>
      <w:r w:rsidR="0013099B">
        <w:rPr>
          <w:rStyle w:val="tlid-translation"/>
          <w:sz w:val="28"/>
          <w:szCs w:val="28"/>
          <w:lang w:val="en-US"/>
        </w:rPr>
        <w:t xml:space="preserve"> UAH</w:t>
      </w:r>
      <w:r w:rsidRPr="00347FF8">
        <w:rPr>
          <w:rStyle w:val="tlid-translation"/>
          <w:sz w:val="28"/>
          <w:szCs w:val="28"/>
          <w:lang w:val="en-US"/>
        </w:rPr>
        <w:t xml:space="preserve"> (or 7.9% of the total amount of insurance premiums).</w:t>
      </w:r>
      <w:r w:rsidRPr="00347FF8">
        <w:rPr>
          <w:sz w:val="28"/>
          <w:szCs w:val="28"/>
          <w:lang w:val="en-US"/>
        </w:rPr>
        <w:br/>
      </w:r>
      <w:r w:rsidRPr="00347FF8">
        <w:rPr>
          <w:rStyle w:val="tlid-translation"/>
          <w:sz w:val="28"/>
          <w:szCs w:val="28"/>
          <w:lang w:val="en-US"/>
        </w:rPr>
        <w:t xml:space="preserve">The net insurance premiums for 2018 amounted to 34,424.3 million UAH, which is </w:t>
      </w:r>
      <w:r w:rsidRPr="00347FF8">
        <w:rPr>
          <w:rStyle w:val="tlid-translation"/>
          <w:sz w:val="28"/>
          <w:szCs w:val="28"/>
          <w:lang w:val="en-US"/>
        </w:rPr>
        <w:lastRenderedPageBreak/>
        <w:t>69.7% of gross insurance premiums. The net insurance pr</w:t>
      </w:r>
      <w:r w:rsidR="0013099B">
        <w:rPr>
          <w:rStyle w:val="tlid-translation"/>
          <w:sz w:val="28"/>
          <w:szCs w:val="28"/>
          <w:lang w:val="en-US"/>
        </w:rPr>
        <w:t xml:space="preserve">emiums for 2017 amounted to </w:t>
      </w:r>
      <w:r w:rsidRPr="00347FF8">
        <w:rPr>
          <w:rStyle w:val="tlid-translation"/>
          <w:sz w:val="28"/>
          <w:szCs w:val="28"/>
          <w:lang w:val="en-US"/>
        </w:rPr>
        <w:t>28,494.4 million</w:t>
      </w:r>
      <w:r w:rsidR="0013099B">
        <w:rPr>
          <w:rStyle w:val="tlid-translation"/>
          <w:sz w:val="28"/>
          <w:szCs w:val="28"/>
          <w:lang w:val="en-US"/>
        </w:rPr>
        <w:t xml:space="preserve"> UAH</w:t>
      </w:r>
      <w:r w:rsidRPr="00347FF8">
        <w:rPr>
          <w:rStyle w:val="tlid-translation"/>
          <w:sz w:val="28"/>
          <w:szCs w:val="28"/>
          <w:lang w:val="en-US"/>
        </w:rPr>
        <w:t>, or 65.6% of gross insurance premiums.</w:t>
      </w:r>
      <w:r w:rsidRPr="00347FF8">
        <w:rPr>
          <w:sz w:val="28"/>
          <w:szCs w:val="28"/>
          <w:lang w:val="en-US"/>
        </w:rPr>
        <w:br/>
      </w:r>
      <w:r w:rsidRPr="00347FF8">
        <w:rPr>
          <w:rStyle w:val="tlid-translation"/>
          <w:sz w:val="28"/>
          <w:szCs w:val="28"/>
          <w:lang w:val="en-US"/>
        </w:rPr>
        <w:t>Volumes of gross insurance premiums for 2018 increased by 13</w:t>
      </w:r>
      <w:proofErr w:type="gramStart"/>
      <w:r w:rsidRPr="00347FF8">
        <w:rPr>
          <w:rStyle w:val="tlid-translation"/>
          <w:sz w:val="28"/>
          <w:szCs w:val="28"/>
          <w:lang w:val="en-US"/>
        </w:rPr>
        <w:t>,7</w:t>
      </w:r>
      <w:proofErr w:type="gramEnd"/>
      <w:r w:rsidRPr="00347FF8">
        <w:rPr>
          <w:rStyle w:val="tlid-translation"/>
          <w:sz w:val="28"/>
          <w:szCs w:val="28"/>
          <w:lang w:val="en-US"/>
        </w:rPr>
        <w:t>% compared to 2017, compared with 2015, increased by 40,4%.</w:t>
      </w:r>
      <w:r w:rsidRPr="00347FF8">
        <w:rPr>
          <w:sz w:val="28"/>
          <w:szCs w:val="28"/>
          <w:lang w:val="en-US"/>
        </w:rPr>
        <w:br/>
      </w:r>
      <w:r w:rsidRPr="00347FF8">
        <w:rPr>
          <w:rStyle w:val="tlid-translation"/>
          <w:sz w:val="28"/>
          <w:szCs w:val="28"/>
          <w:lang w:val="en-US"/>
        </w:rPr>
        <w:t>Net insurance premiums increased by 20.8% compared to 2017, and by 30.1% compared to 2016.</w:t>
      </w:r>
    </w:p>
    <w:p w:rsidR="001D236C" w:rsidRPr="00347FF8" w:rsidRDefault="001D236C" w:rsidP="001D236C">
      <w:pPr>
        <w:rPr>
          <w:rStyle w:val="tlid-translation"/>
          <w:sz w:val="28"/>
          <w:szCs w:val="28"/>
          <w:lang w:val="en-US"/>
        </w:rPr>
      </w:pPr>
    </w:p>
    <w:p w:rsidR="001D236C" w:rsidRPr="001D236C" w:rsidRDefault="001D236C" w:rsidP="001D236C">
      <w:pPr>
        <w:rPr>
          <w:sz w:val="28"/>
          <w:szCs w:val="28"/>
          <w:lang w:val="en-US"/>
        </w:rPr>
      </w:pPr>
      <w:r w:rsidRPr="001D236C">
        <w:rPr>
          <w:sz w:val="28"/>
          <w:szCs w:val="28"/>
          <w:lang w:val="en-US"/>
        </w:rPr>
        <w:t>The concentration of the insurance market for gross insurance premiums as at 31.12.2018 is presented in Table 3.</w:t>
      </w:r>
    </w:p>
    <w:p w:rsidR="008E02EB" w:rsidRPr="001D236C" w:rsidRDefault="008E02EB" w:rsidP="00A646F0">
      <w:pPr>
        <w:pStyle w:val="Default"/>
        <w:ind w:firstLine="700"/>
        <w:jc w:val="both"/>
        <w:rPr>
          <w:sz w:val="28"/>
          <w:szCs w:val="28"/>
          <w:lang w:val="en-US"/>
        </w:rPr>
      </w:pPr>
    </w:p>
    <w:p w:rsidR="00132B0E" w:rsidRPr="001D236C" w:rsidRDefault="00F700F2" w:rsidP="00774063">
      <w:pPr>
        <w:pStyle w:val="Default"/>
        <w:ind w:firstLine="700"/>
        <w:jc w:val="right"/>
        <w:rPr>
          <w:i/>
          <w:lang w:val="en-US"/>
        </w:rPr>
      </w:pPr>
      <w:r>
        <w:rPr>
          <w:i/>
          <w:lang w:val="en-US"/>
        </w:rPr>
        <w:t>Table 3</w:t>
      </w:r>
    </w:p>
    <w:p w:rsidR="00132B0E" w:rsidRPr="0072251B" w:rsidRDefault="001D236C" w:rsidP="00774063">
      <w:pPr>
        <w:ind w:firstLine="709"/>
        <w:jc w:val="center"/>
        <w:rPr>
          <w:b/>
          <w:sz w:val="28"/>
          <w:szCs w:val="28"/>
          <w:lang w:val="uk-UA"/>
        </w:rPr>
      </w:pPr>
      <w:r w:rsidRPr="001D236C">
        <w:rPr>
          <w:b/>
          <w:sz w:val="28"/>
          <w:szCs w:val="28"/>
          <w:lang w:val="uk-UA"/>
        </w:rPr>
        <w:t>Concentration of the insurance market in 2018</w:t>
      </w:r>
    </w:p>
    <w:tbl>
      <w:tblPr>
        <w:tblW w:w="9846" w:type="dxa"/>
        <w:jc w:val="center"/>
        <w:tblLayout w:type="fixed"/>
        <w:tblLook w:val="0000" w:firstRow="0" w:lastRow="0" w:firstColumn="0" w:lastColumn="0" w:noHBand="0" w:noVBand="0"/>
      </w:tblPr>
      <w:tblGrid>
        <w:gridCol w:w="2263"/>
        <w:gridCol w:w="1560"/>
        <w:gridCol w:w="992"/>
        <w:gridCol w:w="1559"/>
        <w:gridCol w:w="992"/>
        <w:gridCol w:w="2480"/>
      </w:tblGrid>
      <w:tr w:rsidR="00132B0E" w:rsidRPr="0072251B" w:rsidTr="0003233E">
        <w:trPr>
          <w:trHeight w:val="297"/>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132B0E" w:rsidRPr="0072251B" w:rsidRDefault="001D236C" w:rsidP="00F45BF1">
            <w:pPr>
              <w:jc w:val="center"/>
              <w:rPr>
                <w:lang w:val="uk-UA"/>
              </w:rPr>
            </w:pPr>
            <w:r>
              <w:rPr>
                <w:lang w:val="en-US"/>
              </w:rPr>
              <w:t>First</w:t>
            </w:r>
            <w:r w:rsidR="00132B0E" w:rsidRPr="0072251B">
              <w:rPr>
                <w:lang w:val="uk-UA"/>
              </w:rPr>
              <w:t xml:space="preserve"> (Тор)</w:t>
            </w:r>
          </w:p>
        </w:tc>
        <w:tc>
          <w:tcPr>
            <w:tcW w:w="2552" w:type="dxa"/>
            <w:gridSpan w:val="2"/>
            <w:tcBorders>
              <w:top w:val="single" w:sz="4" w:space="0" w:color="auto"/>
              <w:left w:val="nil"/>
              <w:bottom w:val="single" w:sz="4" w:space="0" w:color="auto"/>
              <w:right w:val="single" w:sz="4" w:space="0" w:color="auto"/>
            </w:tcBorders>
            <w:vAlign w:val="center"/>
          </w:tcPr>
          <w:p w:rsidR="00132B0E" w:rsidRPr="0072251B" w:rsidRDefault="001D236C" w:rsidP="00F45BF1">
            <w:pPr>
              <w:jc w:val="center"/>
              <w:rPr>
                <w:b/>
                <w:lang w:val="uk-UA"/>
              </w:rPr>
            </w:pPr>
            <w:r>
              <w:rPr>
                <w:b/>
                <w:lang w:val="en-US"/>
              </w:rPr>
              <w:t>insurance</w:t>
            </w:r>
            <w:r w:rsidR="00132B0E" w:rsidRPr="0072251B">
              <w:rPr>
                <w:b/>
                <w:lang w:val="uk-UA"/>
              </w:rPr>
              <w:t xml:space="preserve"> “Life”</w:t>
            </w:r>
          </w:p>
        </w:tc>
        <w:tc>
          <w:tcPr>
            <w:tcW w:w="5031" w:type="dxa"/>
            <w:gridSpan w:val="3"/>
            <w:tcBorders>
              <w:top w:val="single" w:sz="4" w:space="0" w:color="auto"/>
              <w:left w:val="nil"/>
              <w:bottom w:val="single" w:sz="4" w:space="0" w:color="auto"/>
              <w:right w:val="single" w:sz="4" w:space="0" w:color="auto"/>
            </w:tcBorders>
            <w:vAlign w:val="center"/>
          </w:tcPr>
          <w:p w:rsidR="00132B0E" w:rsidRPr="0072251B" w:rsidRDefault="002F2894" w:rsidP="00F45BF1">
            <w:pPr>
              <w:jc w:val="center"/>
              <w:rPr>
                <w:b/>
                <w:lang w:val="uk-UA"/>
              </w:rPr>
            </w:pPr>
            <w:r>
              <w:rPr>
                <w:b/>
                <w:lang w:val="en-US"/>
              </w:rPr>
              <w:t>ins</w:t>
            </w:r>
            <w:r w:rsidR="001D236C">
              <w:rPr>
                <w:b/>
                <w:lang w:val="en-US"/>
              </w:rPr>
              <w:t>urance</w:t>
            </w:r>
            <w:r w:rsidR="00132B0E" w:rsidRPr="0072251B">
              <w:rPr>
                <w:b/>
                <w:lang w:val="uk-UA"/>
              </w:rPr>
              <w:t xml:space="preserve"> "non-Life"</w:t>
            </w:r>
          </w:p>
        </w:tc>
      </w:tr>
      <w:tr w:rsidR="00132B0E" w:rsidRPr="00911B49" w:rsidTr="0003233E">
        <w:trPr>
          <w:trHeight w:val="837"/>
          <w:jc w:val="center"/>
        </w:trPr>
        <w:tc>
          <w:tcPr>
            <w:tcW w:w="2263" w:type="dxa"/>
            <w:vMerge/>
            <w:tcBorders>
              <w:top w:val="single" w:sz="4" w:space="0" w:color="auto"/>
              <w:left w:val="single" w:sz="4" w:space="0" w:color="auto"/>
              <w:bottom w:val="single" w:sz="4" w:space="0" w:color="auto"/>
              <w:right w:val="single" w:sz="4" w:space="0" w:color="auto"/>
            </w:tcBorders>
            <w:vAlign w:val="center"/>
          </w:tcPr>
          <w:p w:rsidR="00132B0E" w:rsidRPr="0072251B" w:rsidRDefault="00132B0E" w:rsidP="00F45BF1">
            <w:pPr>
              <w:rPr>
                <w:lang w:val="uk-UA"/>
              </w:rPr>
            </w:pPr>
          </w:p>
        </w:tc>
        <w:tc>
          <w:tcPr>
            <w:tcW w:w="1560" w:type="dxa"/>
            <w:tcBorders>
              <w:top w:val="nil"/>
              <w:left w:val="nil"/>
              <w:bottom w:val="single" w:sz="4" w:space="0" w:color="auto"/>
              <w:right w:val="single" w:sz="4" w:space="0" w:color="auto"/>
            </w:tcBorders>
            <w:vAlign w:val="center"/>
          </w:tcPr>
          <w:p w:rsidR="00132B0E" w:rsidRPr="0072251B" w:rsidRDefault="001D236C" w:rsidP="0003233E">
            <w:pPr>
              <w:ind w:left="-113" w:right="-113"/>
              <w:jc w:val="center"/>
              <w:rPr>
                <w:lang w:val="uk-UA"/>
              </w:rPr>
            </w:pPr>
            <w:r w:rsidRPr="001D236C">
              <w:rPr>
                <w:lang w:val="uk-UA"/>
              </w:rPr>
              <w:t>Receipt of bonuses (UAH million)</w:t>
            </w:r>
          </w:p>
        </w:tc>
        <w:tc>
          <w:tcPr>
            <w:tcW w:w="992" w:type="dxa"/>
            <w:tcBorders>
              <w:top w:val="nil"/>
              <w:left w:val="nil"/>
              <w:bottom w:val="single" w:sz="4" w:space="0" w:color="auto"/>
              <w:right w:val="single" w:sz="4" w:space="0" w:color="auto"/>
            </w:tcBorders>
            <w:vAlign w:val="center"/>
          </w:tcPr>
          <w:p w:rsidR="00132B0E" w:rsidRPr="0072251B" w:rsidRDefault="001D236C" w:rsidP="00F45BF1">
            <w:pPr>
              <w:jc w:val="center"/>
              <w:rPr>
                <w:lang w:val="uk-UA"/>
              </w:rPr>
            </w:pPr>
            <w:r w:rsidRPr="001D236C">
              <w:rPr>
                <w:lang w:val="uk-UA"/>
              </w:rPr>
              <w:t>Market share,%</w:t>
            </w:r>
          </w:p>
        </w:tc>
        <w:tc>
          <w:tcPr>
            <w:tcW w:w="1559" w:type="dxa"/>
            <w:tcBorders>
              <w:top w:val="nil"/>
              <w:left w:val="nil"/>
              <w:bottom w:val="single" w:sz="4" w:space="0" w:color="auto"/>
              <w:right w:val="single" w:sz="4" w:space="0" w:color="auto"/>
            </w:tcBorders>
            <w:vAlign w:val="center"/>
          </w:tcPr>
          <w:p w:rsidR="00132B0E" w:rsidRPr="0072251B" w:rsidRDefault="001D236C" w:rsidP="0003233E">
            <w:pPr>
              <w:ind w:left="-113" w:right="-113"/>
              <w:jc w:val="center"/>
              <w:rPr>
                <w:lang w:val="uk-UA"/>
              </w:rPr>
            </w:pPr>
            <w:r w:rsidRPr="001D236C">
              <w:rPr>
                <w:lang w:val="uk-UA"/>
              </w:rPr>
              <w:t>Receipt of bonuses (UAH million)</w:t>
            </w:r>
          </w:p>
        </w:tc>
        <w:tc>
          <w:tcPr>
            <w:tcW w:w="992" w:type="dxa"/>
            <w:tcBorders>
              <w:top w:val="single" w:sz="4" w:space="0" w:color="auto"/>
              <w:left w:val="nil"/>
              <w:bottom w:val="single" w:sz="4" w:space="0" w:color="auto"/>
              <w:right w:val="single" w:sz="4" w:space="0" w:color="auto"/>
            </w:tcBorders>
            <w:vAlign w:val="center"/>
          </w:tcPr>
          <w:p w:rsidR="00132B0E" w:rsidRPr="0072251B" w:rsidRDefault="001D236C" w:rsidP="00F45BF1">
            <w:pPr>
              <w:jc w:val="center"/>
              <w:rPr>
                <w:lang w:val="uk-UA"/>
              </w:rPr>
            </w:pPr>
            <w:r w:rsidRPr="001D236C">
              <w:rPr>
                <w:lang w:val="uk-UA"/>
              </w:rPr>
              <w:t>Market share,%</w:t>
            </w:r>
          </w:p>
        </w:tc>
        <w:tc>
          <w:tcPr>
            <w:tcW w:w="2480" w:type="dxa"/>
            <w:tcBorders>
              <w:top w:val="single" w:sz="4" w:space="0" w:color="auto"/>
              <w:left w:val="nil"/>
              <w:bottom w:val="single" w:sz="4" w:space="0" w:color="auto"/>
              <w:right w:val="single" w:sz="4" w:space="0" w:color="auto"/>
            </w:tcBorders>
            <w:vAlign w:val="center"/>
          </w:tcPr>
          <w:p w:rsidR="00132B0E" w:rsidRPr="0072251B" w:rsidRDefault="001D236C" w:rsidP="0003233E">
            <w:pPr>
              <w:ind w:left="-113" w:right="-113"/>
              <w:jc w:val="center"/>
              <w:rPr>
                <w:lang w:val="uk-UA"/>
              </w:rPr>
            </w:pPr>
            <w:r w:rsidRPr="001D236C">
              <w:rPr>
                <w:lang w:val="uk-UA"/>
              </w:rPr>
              <w:t>The number of insurance companies that received more than 50% of insurance premiums from reinsurers</w:t>
            </w:r>
          </w:p>
        </w:tc>
      </w:tr>
      <w:tr w:rsidR="00132B0E" w:rsidRPr="0072251B" w:rsidTr="0003233E">
        <w:trPr>
          <w:trHeight w:val="297"/>
          <w:jc w:val="center"/>
        </w:trPr>
        <w:tc>
          <w:tcPr>
            <w:tcW w:w="2263" w:type="dxa"/>
            <w:tcBorders>
              <w:top w:val="nil"/>
              <w:left w:val="single" w:sz="4" w:space="0" w:color="auto"/>
              <w:bottom w:val="single" w:sz="4" w:space="0" w:color="auto"/>
              <w:right w:val="single" w:sz="4" w:space="0" w:color="auto"/>
            </w:tcBorders>
          </w:tcPr>
          <w:p w:rsidR="00132B0E" w:rsidRPr="0072251B" w:rsidRDefault="00132B0E">
            <w:pPr>
              <w:jc w:val="center"/>
              <w:rPr>
                <w:lang w:val="uk-UA"/>
              </w:rPr>
            </w:pPr>
            <w:r w:rsidRPr="0072251B">
              <w:rPr>
                <w:lang w:val="uk-UA"/>
              </w:rPr>
              <w:t>Тор 3</w:t>
            </w:r>
          </w:p>
        </w:tc>
        <w:tc>
          <w:tcPr>
            <w:tcW w:w="1560"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2 122,1</w:t>
            </w:r>
          </w:p>
        </w:tc>
        <w:tc>
          <w:tcPr>
            <w:tcW w:w="992"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54,3</w:t>
            </w:r>
          </w:p>
        </w:tc>
        <w:tc>
          <w:tcPr>
            <w:tcW w:w="1559"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6 834,4</w:t>
            </w:r>
          </w:p>
        </w:tc>
        <w:tc>
          <w:tcPr>
            <w:tcW w:w="992" w:type="dxa"/>
            <w:tcBorders>
              <w:top w:val="single" w:sz="4" w:space="0" w:color="auto"/>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15,0</w:t>
            </w:r>
          </w:p>
        </w:tc>
        <w:tc>
          <w:tcPr>
            <w:tcW w:w="2480" w:type="dxa"/>
            <w:tcBorders>
              <w:top w:val="single" w:sz="4" w:space="0" w:color="auto"/>
              <w:left w:val="nil"/>
              <w:bottom w:val="single" w:sz="4" w:space="0" w:color="auto"/>
              <w:right w:val="single" w:sz="4" w:space="0" w:color="auto"/>
            </w:tcBorders>
          </w:tcPr>
          <w:p w:rsidR="00132B0E" w:rsidRPr="0072251B" w:rsidRDefault="00132B0E">
            <w:pPr>
              <w:jc w:val="center"/>
              <w:rPr>
                <w:lang w:val="uk-UA"/>
              </w:rPr>
            </w:pPr>
            <w:r w:rsidRPr="0072251B">
              <w:rPr>
                <w:lang w:val="uk-UA"/>
              </w:rPr>
              <w:t>3</w:t>
            </w:r>
          </w:p>
        </w:tc>
      </w:tr>
      <w:tr w:rsidR="00132B0E" w:rsidRPr="0072251B" w:rsidTr="0003233E">
        <w:trPr>
          <w:trHeight w:val="297"/>
          <w:jc w:val="center"/>
        </w:trPr>
        <w:tc>
          <w:tcPr>
            <w:tcW w:w="2263" w:type="dxa"/>
            <w:tcBorders>
              <w:top w:val="nil"/>
              <w:left w:val="single" w:sz="4" w:space="0" w:color="auto"/>
              <w:bottom w:val="single" w:sz="4" w:space="0" w:color="auto"/>
              <w:right w:val="single" w:sz="4" w:space="0" w:color="auto"/>
            </w:tcBorders>
          </w:tcPr>
          <w:p w:rsidR="00132B0E" w:rsidRPr="0072251B" w:rsidRDefault="00132B0E">
            <w:pPr>
              <w:jc w:val="center"/>
              <w:rPr>
                <w:lang w:val="uk-UA"/>
              </w:rPr>
            </w:pPr>
            <w:r w:rsidRPr="0072251B">
              <w:rPr>
                <w:lang w:val="uk-UA"/>
              </w:rPr>
              <w:t>Тор 10</w:t>
            </w:r>
          </w:p>
        </w:tc>
        <w:tc>
          <w:tcPr>
            <w:tcW w:w="1560"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3 783,9</w:t>
            </w:r>
          </w:p>
        </w:tc>
        <w:tc>
          <w:tcPr>
            <w:tcW w:w="992"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96,9</w:t>
            </w:r>
          </w:p>
        </w:tc>
        <w:tc>
          <w:tcPr>
            <w:tcW w:w="1559"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18 022,2</w:t>
            </w:r>
          </w:p>
        </w:tc>
        <w:tc>
          <w:tcPr>
            <w:tcW w:w="992" w:type="dxa"/>
            <w:tcBorders>
              <w:top w:val="single" w:sz="4" w:space="0" w:color="auto"/>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39,6</w:t>
            </w:r>
          </w:p>
        </w:tc>
        <w:tc>
          <w:tcPr>
            <w:tcW w:w="2480" w:type="dxa"/>
            <w:tcBorders>
              <w:top w:val="single" w:sz="4" w:space="0" w:color="auto"/>
              <w:left w:val="nil"/>
              <w:bottom w:val="single" w:sz="4" w:space="0" w:color="auto"/>
              <w:right w:val="single" w:sz="4" w:space="0" w:color="auto"/>
            </w:tcBorders>
          </w:tcPr>
          <w:p w:rsidR="00132B0E" w:rsidRPr="0072251B" w:rsidRDefault="00132B0E">
            <w:pPr>
              <w:jc w:val="center"/>
              <w:rPr>
                <w:lang w:val="uk-UA"/>
              </w:rPr>
            </w:pPr>
            <w:r w:rsidRPr="0072251B">
              <w:rPr>
                <w:lang w:val="uk-UA"/>
              </w:rPr>
              <w:t>4</w:t>
            </w:r>
          </w:p>
        </w:tc>
      </w:tr>
      <w:tr w:rsidR="00132B0E" w:rsidRPr="0072251B" w:rsidTr="0003233E">
        <w:trPr>
          <w:trHeight w:val="297"/>
          <w:jc w:val="center"/>
        </w:trPr>
        <w:tc>
          <w:tcPr>
            <w:tcW w:w="2263" w:type="dxa"/>
            <w:tcBorders>
              <w:top w:val="nil"/>
              <w:left w:val="single" w:sz="4" w:space="0" w:color="auto"/>
              <w:bottom w:val="single" w:sz="4" w:space="0" w:color="auto"/>
              <w:right w:val="single" w:sz="4" w:space="0" w:color="auto"/>
            </w:tcBorders>
          </w:tcPr>
          <w:p w:rsidR="00132B0E" w:rsidRPr="0072251B" w:rsidRDefault="00132B0E">
            <w:pPr>
              <w:jc w:val="center"/>
              <w:rPr>
                <w:lang w:val="uk-UA"/>
              </w:rPr>
            </w:pPr>
            <w:r w:rsidRPr="0072251B">
              <w:rPr>
                <w:lang w:val="uk-UA"/>
              </w:rPr>
              <w:t>Тор 20</w:t>
            </w:r>
          </w:p>
        </w:tc>
        <w:tc>
          <w:tcPr>
            <w:tcW w:w="1560"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3 904,8</w:t>
            </w:r>
          </w:p>
        </w:tc>
        <w:tc>
          <w:tcPr>
            <w:tcW w:w="992"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100,0</w:t>
            </w:r>
          </w:p>
        </w:tc>
        <w:tc>
          <w:tcPr>
            <w:tcW w:w="1559"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28 119,4</w:t>
            </w:r>
          </w:p>
        </w:tc>
        <w:tc>
          <w:tcPr>
            <w:tcW w:w="992" w:type="dxa"/>
            <w:tcBorders>
              <w:top w:val="single" w:sz="4" w:space="0" w:color="auto"/>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61,9</w:t>
            </w:r>
          </w:p>
        </w:tc>
        <w:tc>
          <w:tcPr>
            <w:tcW w:w="2480" w:type="dxa"/>
            <w:tcBorders>
              <w:top w:val="single" w:sz="4" w:space="0" w:color="auto"/>
              <w:left w:val="nil"/>
              <w:bottom w:val="single" w:sz="4" w:space="0" w:color="auto"/>
              <w:right w:val="single" w:sz="4" w:space="0" w:color="auto"/>
            </w:tcBorders>
          </w:tcPr>
          <w:p w:rsidR="00132B0E" w:rsidRPr="0072251B" w:rsidRDefault="00132B0E">
            <w:pPr>
              <w:jc w:val="center"/>
              <w:rPr>
                <w:lang w:val="uk-UA"/>
              </w:rPr>
            </w:pPr>
            <w:r w:rsidRPr="0072251B">
              <w:rPr>
                <w:lang w:val="uk-UA"/>
              </w:rPr>
              <w:t>8</w:t>
            </w:r>
          </w:p>
        </w:tc>
      </w:tr>
      <w:tr w:rsidR="00132B0E" w:rsidRPr="0072251B" w:rsidTr="0003233E">
        <w:trPr>
          <w:trHeight w:val="297"/>
          <w:jc w:val="center"/>
        </w:trPr>
        <w:tc>
          <w:tcPr>
            <w:tcW w:w="2263" w:type="dxa"/>
            <w:tcBorders>
              <w:top w:val="nil"/>
              <w:left w:val="single" w:sz="4" w:space="0" w:color="auto"/>
              <w:bottom w:val="single" w:sz="4" w:space="0" w:color="auto"/>
              <w:right w:val="single" w:sz="4" w:space="0" w:color="auto"/>
            </w:tcBorders>
          </w:tcPr>
          <w:p w:rsidR="00132B0E" w:rsidRPr="0072251B" w:rsidRDefault="00132B0E">
            <w:pPr>
              <w:jc w:val="center"/>
              <w:rPr>
                <w:lang w:val="uk-UA"/>
              </w:rPr>
            </w:pPr>
            <w:r w:rsidRPr="0072251B">
              <w:rPr>
                <w:lang w:val="uk-UA"/>
              </w:rPr>
              <w:t>Тор 50</w:t>
            </w:r>
          </w:p>
        </w:tc>
        <w:tc>
          <w:tcPr>
            <w:tcW w:w="1560"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х</w:t>
            </w:r>
          </w:p>
        </w:tc>
        <w:tc>
          <w:tcPr>
            <w:tcW w:w="992"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x</w:t>
            </w:r>
          </w:p>
        </w:tc>
        <w:tc>
          <w:tcPr>
            <w:tcW w:w="1559"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40 205,5</w:t>
            </w:r>
          </w:p>
        </w:tc>
        <w:tc>
          <w:tcPr>
            <w:tcW w:w="992" w:type="dxa"/>
            <w:tcBorders>
              <w:top w:val="single" w:sz="4" w:space="0" w:color="auto"/>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88,4</w:t>
            </w:r>
          </w:p>
        </w:tc>
        <w:tc>
          <w:tcPr>
            <w:tcW w:w="2480" w:type="dxa"/>
            <w:tcBorders>
              <w:top w:val="single" w:sz="4" w:space="0" w:color="auto"/>
              <w:left w:val="nil"/>
              <w:bottom w:val="single" w:sz="4" w:space="0" w:color="auto"/>
              <w:right w:val="single" w:sz="4" w:space="0" w:color="auto"/>
            </w:tcBorders>
          </w:tcPr>
          <w:p w:rsidR="00132B0E" w:rsidRPr="0072251B" w:rsidRDefault="00132B0E">
            <w:pPr>
              <w:jc w:val="center"/>
              <w:rPr>
                <w:lang w:val="uk-UA"/>
              </w:rPr>
            </w:pPr>
            <w:r w:rsidRPr="0072251B">
              <w:rPr>
                <w:lang w:val="uk-UA"/>
              </w:rPr>
              <w:t>10</w:t>
            </w:r>
          </w:p>
        </w:tc>
      </w:tr>
      <w:tr w:rsidR="00132B0E" w:rsidRPr="0072251B" w:rsidTr="0003233E">
        <w:trPr>
          <w:trHeight w:val="297"/>
          <w:jc w:val="center"/>
        </w:trPr>
        <w:tc>
          <w:tcPr>
            <w:tcW w:w="2263" w:type="dxa"/>
            <w:tcBorders>
              <w:top w:val="nil"/>
              <w:left w:val="single" w:sz="4" w:space="0" w:color="auto"/>
              <w:bottom w:val="single" w:sz="4" w:space="0" w:color="auto"/>
              <w:right w:val="single" w:sz="4" w:space="0" w:color="auto"/>
            </w:tcBorders>
          </w:tcPr>
          <w:p w:rsidR="00132B0E" w:rsidRPr="0072251B" w:rsidRDefault="00132B0E">
            <w:pPr>
              <w:jc w:val="center"/>
              <w:rPr>
                <w:lang w:val="uk-UA"/>
              </w:rPr>
            </w:pPr>
            <w:r w:rsidRPr="0072251B">
              <w:rPr>
                <w:lang w:val="uk-UA"/>
              </w:rPr>
              <w:t>Тор 100</w:t>
            </w:r>
          </w:p>
        </w:tc>
        <w:tc>
          <w:tcPr>
            <w:tcW w:w="1560"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х</w:t>
            </w:r>
          </w:p>
        </w:tc>
        <w:tc>
          <w:tcPr>
            <w:tcW w:w="992"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x</w:t>
            </w:r>
          </w:p>
        </w:tc>
        <w:tc>
          <w:tcPr>
            <w:tcW w:w="1559"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44 497,5</w:t>
            </w:r>
          </w:p>
        </w:tc>
        <w:tc>
          <w:tcPr>
            <w:tcW w:w="992" w:type="dxa"/>
            <w:tcBorders>
              <w:top w:val="single" w:sz="4" w:space="0" w:color="auto"/>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97,9</w:t>
            </w:r>
          </w:p>
        </w:tc>
        <w:tc>
          <w:tcPr>
            <w:tcW w:w="2480" w:type="dxa"/>
            <w:tcBorders>
              <w:top w:val="single" w:sz="4" w:space="0" w:color="auto"/>
              <w:left w:val="nil"/>
              <w:bottom w:val="single" w:sz="4" w:space="0" w:color="auto"/>
              <w:right w:val="single" w:sz="4" w:space="0" w:color="auto"/>
            </w:tcBorders>
          </w:tcPr>
          <w:p w:rsidR="00132B0E" w:rsidRPr="0072251B" w:rsidRDefault="00132B0E">
            <w:pPr>
              <w:jc w:val="center"/>
              <w:rPr>
                <w:lang w:val="uk-UA"/>
              </w:rPr>
            </w:pPr>
            <w:r w:rsidRPr="0072251B">
              <w:rPr>
                <w:lang w:val="uk-UA"/>
              </w:rPr>
              <w:t>15</w:t>
            </w:r>
          </w:p>
        </w:tc>
      </w:tr>
      <w:tr w:rsidR="00132B0E" w:rsidRPr="0072251B" w:rsidTr="0003233E">
        <w:trPr>
          <w:trHeight w:val="297"/>
          <w:jc w:val="center"/>
        </w:trPr>
        <w:tc>
          <w:tcPr>
            <w:tcW w:w="2263" w:type="dxa"/>
            <w:tcBorders>
              <w:top w:val="nil"/>
              <w:left w:val="single" w:sz="4" w:space="0" w:color="auto"/>
              <w:bottom w:val="single" w:sz="4" w:space="0" w:color="auto"/>
              <w:right w:val="single" w:sz="4" w:space="0" w:color="auto"/>
            </w:tcBorders>
          </w:tcPr>
          <w:p w:rsidR="00132B0E" w:rsidRPr="0072251B" w:rsidRDefault="00132B0E">
            <w:pPr>
              <w:jc w:val="center"/>
              <w:rPr>
                <w:lang w:val="uk-UA"/>
              </w:rPr>
            </w:pPr>
            <w:r w:rsidRPr="0072251B">
              <w:rPr>
                <w:lang w:val="uk-UA"/>
              </w:rPr>
              <w:t>Тор 150</w:t>
            </w:r>
          </w:p>
        </w:tc>
        <w:tc>
          <w:tcPr>
            <w:tcW w:w="1560"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х</w:t>
            </w:r>
          </w:p>
        </w:tc>
        <w:tc>
          <w:tcPr>
            <w:tcW w:w="992" w:type="dxa"/>
            <w:tcBorders>
              <w:top w:val="nil"/>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x</w:t>
            </w:r>
          </w:p>
        </w:tc>
        <w:tc>
          <w:tcPr>
            <w:tcW w:w="1559" w:type="dxa"/>
            <w:tcBorders>
              <w:top w:val="nil"/>
              <w:left w:val="nil"/>
              <w:bottom w:val="single" w:sz="4" w:space="0" w:color="auto"/>
              <w:right w:val="single" w:sz="4" w:space="0" w:color="auto"/>
            </w:tcBorders>
            <w:noWrap/>
            <w:vAlign w:val="bottom"/>
          </w:tcPr>
          <w:p w:rsidR="00132B0E" w:rsidRPr="0072251B" w:rsidRDefault="00132B0E">
            <w:pPr>
              <w:jc w:val="center"/>
              <w:rPr>
                <w:lang w:val="uk-UA"/>
              </w:rPr>
            </w:pPr>
            <w:r w:rsidRPr="0072251B">
              <w:rPr>
                <w:lang w:val="uk-UA"/>
              </w:rPr>
              <w:t>45 310,6</w:t>
            </w:r>
          </w:p>
        </w:tc>
        <w:tc>
          <w:tcPr>
            <w:tcW w:w="992" w:type="dxa"/>
            <w:tcBorders>
              <w:top w:val="single" w:sz="4" w:space="0" w:color="auto"/>
              <w:left w:val="nil"/>
              <w:bottom w:val="single" w:sz="4" w:space="0" w:color="auto"/>
              <w:right w:val="single" w:sz="4" w:space="0" w:color="auto"/>
            </w:tcBorders>
            <w:vAlign w:val="bottom"/>
          </w:tcPr>
          <w:p w:rsidR="00132B0E" w:rsidRPr="0072251B" w:rsidRDefault="00132B0E">
            <w:pPr>
              <w:jc w:val="center"/>
              <w:rPr>
                <w:lang w:val="uk-UA"/>
              </w:rPr>
            </w:pPr>
            <w:r w:rsidRPr="0072251B">
              <w:rPr>
                <w:lang w:val="uk-UA"/>
              </w:rPr>
              <w:t>99,7</w:t>
            </w:r>
          </w:p>
        </w:tc>
        <w:tc>
          <w:tcPr>
            <w:tcW w:w="2480" w:type="dxa"/>
            <w:tcBorders>
              <w:top w:val="single" w:sz="4" w:space="0" w:color="auto"/>
              <w:left w:val="nil"/>
              <w:bottom w:val="single" w:sz="4" w:space="0" w:color="auto"/>
              <w:right w:val="single" w:sz="4" w:space="0" w:color="auto"/>
            </w:tcBorders>
          </w:tcPr>
          <w:p w:rsidR="00132B0E" w:rsidRPr="0072251B" w:rsidRDefault="00132B0E">
            <w:pPr>
              <w:jc w:val="center"/>
              <w:rPr>
                <w:lang w:val="uk-UA"/>
              </w:rPr>
            </w:pPr>
            <w:r w:rsidRPr="0072251B">
              <w:rPr>
                <w:lang w:val="uk-UA"/>
              </w:rPr>
              <w:t>18</w:t>
            </w:r>
          </w:p>
        </w:tc>
      </w:tr>
      <w:tr w:rsidR="00132B0E" w:rsidRPr="0072251B" w:rsidTr="0003233E">
        <w:trPr>
          <w:trHeight w:val="297"/>
          <w:jc w:val="center"/>
        </w:trPr>
        <w:tc>
          <w:tcPr>
            <w:tcW w:w="2263" w:type="dxa"/>
            <w:tcBorders>
              <w:top w:val="nil"/>
              <w:left w:val="single" w:sz="4" w:space="0" w:color="auto"/>
              <w:bottom w:val="single" w:sz="4" w:space="0" w:color="auto"/>
              <w:right w:val="single" w:sz="4" w:space="0" w:color="auto"/>
            </w:tcBorders>
          </w:tcPr>
          <w:p w:rsidR="00132B0E" w:rsidRPr="001D236C" w:rsidRDefault="001D236C">
            <w:pPr>
              <w:rPr>
                <w:b/>
                <w:bCs/>
                <w:lang w:val="en-US"/>
              </w:rPr>
            </w:pPr>
            <w:r>
              <w:rPr>
                <w:b/>
                <w:bCs/>
                <w:lang w:val="en-US"/>
              </w:rPr>
              <w:t>Total market</w:t>
            </w:r>
          </w:p>
        </w:tc>
        <w:tc>
          <w:tcPr>
            <w:tcW w:w="1560" w:type="dxa"/>
            <w:tcBorders>
              <w:top w:val="nil"/>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3 906,1</w:t>
            </w:r>
          </w:p>
        </w:tc>
        <w:tc>
          <w:tcPr>
            <w:tcW w:w="992" w:type="dxa"/>
            <w:tcBorders>
              <w:top w:val="nil"/>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100,0</w:t>
            </w:r>
          </w:p>
        </w:tc>
        <w:tc>
          <w:tcPr>
            <w:tcW w:w="1559" w:type="dxa"/>
            <w:tcBorders>
              <w:top w:val="nil"/>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45 461,4</w:t>
            </w:r>
          </w:p>
        </w:tc>
        <w:tc>
          <w:tcPr>
            <w:tcW w:w="992" w:type="dxa"/>
            <w:tcBorders>
              <w:top w:val="single" w:sz="4" w:space="0" w:color="auto"/>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100,0</w:t>
            </w:r>
          </w:p>
        </w:tc>
        <w:tc>
          <w:tcPr>
            <w:tcW w:w="2480" w:type="dxa"/>
            <w:tcBorders>
              <w:top w:val="single" w:sz="4" w:space="0" w:color="auto"/>
              <w:left w:val="nil"/>
              <w:bottom w:val="single" w:sz="4" w:space="0" w:color="auto"/>
              <w:right w:val="single" w:sz="4" w:space="0" w:color="auto"/>
            </w:tcBorders>
            <w:vAlign w:val="bottom"/>
          </w:tcPr>
          <w:p w:rsidR="00132B0E" w:rsidRPr="0072251B" w:rsidRDefault="00132B0E">
            <w:pPr>
              <w:jc w:val="center"/>
              <w:rPr>
                <w:b/>
                <w:bCs/>
                <w:lang w:val="uk-UA"/>
              </w:rPr>
            </w:pPr>
            <w:r w:rsidRPr="0072251B">
              <w:rPr>
                <w:b/>
                <w:bCs/>
                <w:lang w:val="uk-UA"/>
              </w:rPr>
              <w:t>26</w:t>
            </w:r>
          </w:p>
        </w:tc>
      </w:tr>
    </w:tbl>
    <w:p w:rsidR="00132B0E" w:rsidRPr="0072251B" w:rsidRDefault="00132B0E" w:rsidP="00181D2C">
      <w:pPr>
        <w:pStyle w:val="Default"/>
        <w:ind w:firstLine="700"/>
        <w:jc w:val="both"/>
        <w:rPr>
          <w:sz w:val="28"/>
          <w:szCs w:val="28"/>
          <w:lang w:val="uk-UA"/>
        </w:rPr>
      </w:pPr>
    </w:p>
    <w:p w:rsidR="001D236C" w:rsidRPr="001D236C" w:rsidRDefault="001D236C" w:rsidP="001D236C">
      <w:pPr>
        <w:ind w:firstLine="709"/>
        <w:jc w:val="both"/>
        <w:rPr>
          <w:color w:val="000000"/>
          <w:sz w:val="28"/>
          <w:szCs w:val="28"/>
          <w:lang w:val="uk-UA"/>
        </w:rPr>
      </w:pPr>
      <w:r w:rsidRPr="001D236C">
        <w:rPr>
          <w:color w:val="000000"/>
          <w:sz w:val="28"/>
          <w:szCs w:val="28"/>
          <w:lang w:val="uk-UA"/>
        </w:rPr>
        <w:t>Thus, despite a significant number of companies, in fact, in the insurance market, the largest share of gross insurance premiums - 97.9</w:t>
      </w:r>
      <w:r w:rsidR="002F2894">
        <w:rPr>
          <w:color w:val="000000"/>
          <w:sz w:val="28"/>
          <w:szCs w:val="28"/>
          <w:lang w:val="uk-UA"/>
        </w:rPr>
        <w:t>% - is accumulating by 100 non-</w:t>
      </w:r>
      <w:r w:rsidR="002F2894">
        <w:rPr>
          <w:color w:val="000000"/>
          <w:sz w:val="28"/>
          <w:szCs w:val="28"/>
          <w:lang w:val="en-US"/>
        </w:rPr>
        <w:t>l</w:t>
      </w:r>
      <w:r w:rsidRPr="001D236C">
        <w:rPr>
          <w:color w:val="000000"/>
          <w:sz w:val="28"/>
          <w:szCs w:val="28"/>
          <w:lang w:val="uk-UA"/>
        </w:rPr>
        <w:t>ife insuran</w:t>
      </w:r>
      <w:r w:rsidR="002F2894">
        <w:rPr>
          <w:color w:val="000000"/>
          <w:sz w:val="28"/>
          <w:szCs w:val="28"/>
          <w:lang w:val="uk-UA"/>
        </w:rPr>
        <w:t>ce companies (39.8% of all non-</w:t>
      </w:r>
      <w:r w:rsidR="002F2894">
        <w:rPr>
          <w:color w:val="000000"/>
          <w:sz w:val="28"/>
          <w:szCs w:val="28"/>
          <w:lang w:val="en-US"/>
        </w:rPr>
        <w:t>l</w:t>
      </w:r>
      <w:r w:rsidRPr="001D236C">
        <w:rPr>
          <w:color w:val="000000"/>
          <w:sz w:val="28"/>
          <w:szCs w:val="28"/>
          <w:lang w:val="uk-UA"/>
        </w:rPr>
        <w:t>ife insurance companies) and 96.9% - 10 insurance companies "Life" (33.3% of all "Life" insurance).</w:t>
      </w:r>
    </w:p>
    <w:p w:rsidR="00132B0E" w:rsidRDefault="001D236C" w:rsidP="001D236C">
      <w:pPr>
        <w:ind w:firstLine="709"/>
        <w:jc w:val="both"/>
        <w:rPr>
          <w:color w:val="000000"/>
          <w:sz w:val="28"/>
          <w:szCs w:val="28"/>
          <w:lang w:val="en-US"/>
        </w:rPr>
      </w:pPr>
      <w:r w:rsidRPr="001D236C">
        <w:rPr>
          <w:color w:val="000000"/>
          <w:sz w:val="28"/>
          <w:szCs w:val="28"/>
          <w:lang w:val="uk-UA"/>
        </w:rPr>
        <w:t>In the life insurance market, the Index of Gerfindahl-Girshman (NII) amounted to 1 441.37 (in 2017 - 1,417.52), in the market of risk insurance types it was 247.95 (in 2017 - 305.27). In general, the insurance market index Gerfindahl - Girschman was 219.29 (in 2017 - 272.07).</w:t>
      </w:r>
    </w:p>
    <w:p w:rsidR="007F7586" w:rsidRDefault="007F7586" w:rsidP="001D236C">
      <w:pPr>
        <w:ind w:firstLine="709"/>
        <w:jc w:val="both"/>
        <w:rPr>
          <w:color w:val="000000"/>
          <w:sz w:val="28"/>
          <w:szCs w:val="28"/>
          <w:lang w:val="en-US"/>
        </w:rPr>
      </w:pPr>
    </w:p>
    <w:p w:rsidR="007F7586" w:rsidRPr="007F7586" w:rsidRDefault="007F7586" w:rsidP="001D236C">
      <w:pPr>
        <w:ind w:firstLine="709"/>
        <w:jc w:val="both"/>
        <w:rPr>
          <w:color w:val="000000"/>
          <w:sz w:val="28"/>
          <w:szCs w:val="28"/>
          <w:lang w:val="en-US"/>
        </w:rPr>
      </w:pPr>
      <w:r w:rsidRPr="007F7586">
        <w:rPr>
          <w:color w:val="000000"/>
          <w:sz w:val="28"/>
          <w:szCs w:val="28"/>
          <w:lang w:val="en-US"/>
        </w:rPr>
        <w:t>Insurance premiums by type of insurance for 2017-2018 (volumes and rates of growth) are given in Table 4</w:t>
      </w:r>
      <w:r w:rsidR="00164C81">
        <w:rPr>
          <w:color w:val="000000"/>
          <w:sz w:val="28"/>
          <w:szCs w:val="28"/>
          <w:lang w:val="en-US"/>
        </w:rPr>
        <w:t>.</w:t>
      </w:r>
    </w:p>
    <w:p w:rsidR="007F7586" w:rsidRDefault="007F7586" w:rsidP="00291C12">
      <w:pPr>
        <w:ind w:firstLine="709"/>
        <w:jc w:val="right"/>
        <w:rPr>
          <w:color w:val="000000"/>
          <w:sz w:val="28"/>
          <w:szCs w:val="28"/>
          <w:lang w:val="en-US"/>
        </w:rPr>
      </w:pPr>
    </w:p>
    <w:p w:rsidR="00132B0E" w:rsidRPr="00F700F2" w:rsidRDefault="007F7586" w:rsidP="00291C12">
      <w:pPr>
        <w:ind w:firstLine="709"/>
        <w:jc w:val="right"/>
        <w:rPr>
          <w:i/>
          <w:lang w:val="en-US"/>
        </w:rPr>
      </w:pPr>
      <w:r>
        <w:rPr>
          <w:i/>
          <w:lang w:val="en-US"/>
        </w:rPr>
        <w:t>Table</w:t>
      </w:r>
      <w:r w:rsidR="00F700F2">
        <w:rPr>
          <w:i/>
          <w:lang w:val="uk-UA"/>
        </w:rPr>
        <w:t xml:space="preserve"> </w:t>
      </w:r>
      <w:r w:rsidR="00F700F2">
        <w:rPr>
          <w:i/>
          <w:lang w:val="en-US"/>
        </w:rPr>
        <w:t>4</w:t>
      </w:r>
    </w:p>
    <w:p w:rsidR="00132B0E" w:rsidRPr="0072251B" w:rsidRDefault="007F7586" w:rsidP="00AC45D7">
      <w:pPr>
        <w:pStyle w:val="Default"/>
        <w:jc w:val="center"/>
        <w:rPr>
          <w:b/>
          <w:bCs/>
          <w:lang w:val="uk-UA"/>
        </w:rPr>
      </w:pPr>
      <w:r w:rsidRPr="007F7586">
        <w:rPr>
          <w:b/>
          <w:bCs/>
          <w:lang w:val="uk-UA"/>
        </w:rPr>
        <w:t>Insurance premiums by types of insurance for 2017-2018 (volumes and rates of growth)</w:t>
      </w:r>
      <w:r w:rsidR="00132B0E" w:rsidRPr="0072251B">
        <w:rPr>
          <w:b/>
          <w:bCs/>
          <w:lang w:val="uk-UA"/>
        </w:rPr>
        <w:t xml:space="preserve"> </w:t>
      </w:r>
    </w:p>
    <w:tbl>
      <w:tblPr>
        <w:tblW w:w="9962" w:type="dxa"/>
        <w:tblInd w:w="93" w:type="dxa"/>
        <w:tblLayout w:type="fixed"/>
        <w:tblLook w:val="00A0" w:firstRow="1" w:lastRow="0" w:firstColumn="1" w:lastColumn="0" w:noHBand="0" w:noVBand="0"/>
      </w:tblPr>
      <w:tblGrid>
        <w:gridCol w:w="4156"/>
        <w:gridCol w:w="986"/>
        <w:gridCol w:w="992"/>
        <w:gridCol w:w="993"/>
        <w:gridCol w:w="992"/>
        <w:gridCol w:w="992"/>
        <w:gridCol w:w="851"/>
      </w:tblGrid>
      <w:tr w:rsidR="00291C12" w:rsidRPr="00911B49" w:rsidTr="00291C12">
        <w:trPr>
          <w:trHeight w:val="275"/>
        </w:trPr>
        <w:tc>
          <w:tcPr>
            <w:tcW w:w="4156" w:type="dxa"/>
            <w:vMerge w:val="restart"/>
            <w:tcBorders>
              <w:top w:val="single" w:sz="8" w:space="0" w:color="auto"/>
              <w:left w:val="single" w:sz="8" w:space="0" w:color="auto"/>
              <w:bottom w:val="single" w:sz="8" w:space="0" w:color="000000"/>
              <w:right w:val="single" w:sz="8" w:space="0" w:color="auto"/>
            </w:tcBorders>
            <w:vAlign w:val="center"/>
          </w:tcPr>
          <w:p w:rsidR="00291C12" w:rsidRPr="007F7586" w:rsidRDefault="007F7586">
            <w:pPr>
              <w:jc w:val="center"/>
              <w:rPr>
                <w:b/>
                <w:bCs/>
                <w:sz w:val="20"/>
                <w:szCs w:val="20"/>
                <w:lang w:val="en-US"/>
              </w:rPr>
            </w:pPr>
            <w:r>
              <w:rPr>
                <w:b/>
                <w:bCs/>
                <w:sz w:val="20"/>
                <w:szCs w:val="20"/>
                <w:lang w:val="en-US"/>
              </w:rPr>
              <w:t>Types of insurance</w:t>
            </w:r>
          </w:p>
        </w:tc>
        <w:tc>
          <w:tcPr>
            <w:tcW w:w="3963" w:type="dxa"/>
            <w:gridSpan w:val="4"/>
            <w:tcBorders>
              <w:top w:val="single" w:sz="8" w:space="0" w:color="auto"/>
              <w:left w:val="nil"/>
              <w:bottom w:val="single" w:sz="8" w:space="0" w:color="auto"/>
              <w:right w:val="single" w:sz="8" w:space="0" w:color="000000"/>
            </w:tcBorders>
            <w:noWrap/>
            <w:vAlign w:val="center"/>
          </w:tcPr>
          <w:p w:rsidR="00291C12" w:rsidRPr="0072251B" w:rsidRDefault="002F2894">
            <w:pPr>
              <w:jc w:val="center"/>
              <w:rPr>
                <w:b/>
                <w:bCs/>
                <w:sz w:val="20"/>
                <w:szCs w:val="20"/>
                <w:lang w:val="uk-UA"/>
              </w:rPr>
            </w:pPr>
            <w:r>
              <w:rPr>
                <w:b/>
                <w:bCs/>
                <w:sz w:val="20"/>
                <w:szCs w:val="20"/>
                <w:lang w:val="uk-UA"/>
              </w:rPr>
              <w:t>Insurance premiums, m</w:t>
            </w:r>
            <w:r>
              <w:rPr>
                <w:b/>
                <w:bCs/>
                <w:sz w:val="20"/>
                <w:szCs w:val="20"/>
                <w:lang w:val="en-US"/>
              </w:rPr>
              <w:t>illion</w:t>
            </w:r>
            <w:r w:rsidR="007F7586" w:rsidRPr="007F7586">
              <w:rPr>
                <w:b/>
                <w:bCs/>
                <w:sz w:val="20"/>
                <w:szCs w:val="20"/>
                <w:lang w:val="uk-UA"/>
              </w:rPr>
              <w:t xml:space="preserve"> UAH</w:t>
            </w:r>
          </w:p>
        </w:tc>
        <w:tc>
          <w:tcPr>
            <w:tcW w:w="1843" w:type="dxa"/>
            <w:gridSpan w:val="2"/>
            <w:tcBorders>
              <w:top w:val="single" w:sz="8" w:space="0" w:color="auto"/>
              <w:left w:val="nil"/>
              <w:bottom w:val="single" w:sz="8" w:space="0" w:color="auto"/>
              <w:right w:val="single" w:sz="8" w:space="0" w:color="000000"/>
            </w:tcBorders>
            <w:vAlign w:val="bottom"/>
          </w:tcPr>
          <w:p w:rsidR="00291C12" w:rsidRPr="0072251B" w:rsidRDefault="007F7586">
            <w:pPr>
              <w:jc w:val="center"/>
              <w:rPr>
                <w:b/>
                <w:bCs/>
                <w:sz w:val="18"/>
                <w:szCs w:val="18"/>
                <w:lang w:val="uk-UA"/>
              </w:rPr>
            </w:pPr>
            <w:r w:rsidRPr="007F7586">
              <w:rPr>
                <w:b/>
                <w:bCs/>
                <w:sz w:val="18"/>
                <w:szCs w:val="18"/>
                <w:lang w:val="uk-UA"/>
              </w:rPr>
              <w:t>The growth rates of insurance premiums</w:t>
            </w:r>
          </w:p>
        </w:tc>
      </w:tr>
      <w:tr w:rsidR="00291C12" w:rsidRPr="0072251B" w:rsidTr="00291C12">
        <w:trPr>
          <w:trHeight w:val="379"/>
        </w:trPr>
        <w:tc>
          <w:tcPr>
            <w:tcW w:w="4156" w:type="dxa"/>
            <w:vMerge/>
            <w:tcBorders>
              <w:top w:val="single" w:sz="8" w:space="0" w:color="auto"/>
              <w:left w:val="single" w:sz="8" w:space="0" w:color="auto"/>
              <w:bottom w:val="single" w:sz="8" w:space="0" w:color="000000"/>
              <w:right w:val="single" w:sz="8" w:space="0" w:color="auto"/>
            </w:tcBorders>
            <w:vAlign w:val="center"/>
          </w:tcPr>
          <w:p w:rsidR="00291C12" w:rsidRPr="0072251B" w:rsidRDefault="00291C12">
            <w:pPr>
              <w:rPr>
                <w:b/>
                <w:bCs/>
                <w:sz w:val="20"/>
                <w:szCs w:val="20"/>
                <w:lang w:val="uk-UA"/>
              </w:rPr>
            </w:pPr>
          </w:p>
        </w:tc>
        <w:tc>
          <w:tcPr>
            <w:tcW w:w="1978" w:type="dxa"/>
            <w:gridSpan w:val="2"/>
            <w:tcBorders>
              <w:top w:val="single" w:sz="8" w:space="0" w:color="auto"/>
              <w:left w:val="nil"/>
              <w:bottom w:val="single" w:sz="8" w:space="0" w:color="auto"/>
              <w:right w:val="single" w:sz="8" w:space="0" w:color="000000"/>
            </w:tcBorders>
            <w:noWrap/>
            <w:vAlign w:val="center"/>
          </w:tcPr>
          <w:p w:rsidR="00291C12" w:rsidRPr="007F7586" w:rsidRDefault="007F7586">
            <w:pPr>
              <w:jc w:val="center"/>
              <w:rPr>
                <w:b/>
                <w:bCs/>
                <w:sz w:val="20"/>
                <w:szCs w:val="20"/>
                <w:lang w:val="en-US"/>
              </w:rPr>
            </w:pPr>
            <w:r>
              <w:rPr>
                <w:b/>
                <w:bCs/>
                <w:sz w:val="20"/>
                <w:szCs w:val="20"/>
                <w:lang w:val="en-US"/>
              </w:rPr>
              <w:t>Gross</w:t>
            </w:r>
          </w:p>
        </w:tc>
        <w:tc>
          <w:tcPr>
            <w:tcW w:w="1985" w:type="dxa"/>
            <w:gridSpan w:val="2"/>
            <w:tcBorders>
              <w:top w:val="single" w:sz="8" w:space="0" w:color="auto"/>
              <w:left w:val="nil"/>
              <w:bottom w:val="single" w:sz="8" w:space="0" w:color="auto"/>
              <w:right w:val="single" w:sz="8" w:space="0" w:color="000000"/>
            </w:tcBorders>
            <w:noWrap/>
            <w:vAlign w:val="center"/>
          </w:tcPr>
          <w:p w:rsidR="00291C12" w:rsidRPr="007F7586" w:rsidRDefault="007F7586">
            <w:pPr>
              <w:jc w:val="center"/>
              <w:rPr>
                <w:b/>
                <w:bCs/>
                <w:sz w:val="20"/>
                <w:szCs w:val="20"/>
                <w:lang w:val="en-US"/>
              </w:rPr>
            </w:pPr>
            <w:r>
              <w:rPr>
                <w:b/>
                <w:bCs/>
                <w:sz w:val="20"/>
                <w:szCs w:val="20"/>
                <w:lang w:val="en-US"/>
              </w:rPr>
              <w:t>Net</w:t>
            </w:r>
          </w:p>
        </w:tc>
        <w:tc>
          <w:tcPr>
            <w:tcW w:w="992" w:type="dxa"/>
            <w:tcBorders>
              <w:top w:val="nil"/>
              <w:left w:val="nil"/>
              <w:bottom w:val="single" w:sz="8" w:space="0" w:color="auto"/>
              <w:right w:val="single" w:sz="8" w:space="0" w:color="auto"/>
            </w:tcBorders>
            <w:vAlign w:val="bottom"/>
          </w:tcPr>
          <w:p w:rsidR="00291C12" w:rsidRPr="007F7586" w:rsidRDefault="007F7586" w:rsidP="007F7586">
            <w:pPr>
              <w:rPr>
                <w:b/>
                <w:bCs/>
                <w:sz w:val="18"/>
                <w:szCs w:val="18"/>
                <w:lang w:val="en-US"/>
              </w:rPr>
            </w:pPr>
            <w:r>
              <w:rPr>
                <w:b/>
                <w:bCs/>
                <w:sz w:val="18"/>
                <w:szCs w:val="18"/>
                <w:lang w:val="en-US"/>
              </w:rPr>
              <w:t>Gross premiums</w:t>
            </w:r>
          </w:p>
        </w:tc>
        <w:tc>
          <w:tcPr>
            <w:tcW w:w="851" w:type="dxa"/>
            <w:tcBorders>
              <w:top w:val="nil"/>
              <w:left w:val="nil"/>
              <w:bottom w:val="single" w:sz="8" w:space="0" w:color="auto"/>
              <w:right w:val="single" w:sz="8" w:space="0" w:color="auto"/>
            </w:tcBorders>
            <w:vAlign w:val="bottom"/>
          </w:tcPr>
          <w:p w:rsidR="00291C12" w:rsidRPr="0072251B" w:rsidRDefault="007F7586" w:rsidP="007F7586">
            <w:pPr>
              <w:jc w:val="center"/>
              <w:rPr>
                <w:b/>
                <w:bCs/>
                <w:sz w:val="18"/>
                <w:szCs w:val="18"/>
                <w:lang w:val="uk-UA"/>
              </w:rPr>
            </w:pPr>
            <w:r>
              <w:rPr>
                <w:b/>
                <w:bCs/>
                <w:sz w:val="18"/>
                <w:szCs w:val="18"/>
                <w:lang w:val="en-US"/>
              </w:rPr>
              <w:t>Net premiums</w:t>
            </w:r>
          </w:p>
        </w:tc>
      </w:tr>
      <w:tr w:rsidR="00291C12" w:rsidRPr="0072251B" w:rsidTr="00291C12">
        <w:trPr>
          <w:trHeight w:val="156"/>
        </w:trPr>
        <w:tc>
          <w:tcPr>
            <w:tcW w:w="4156" w:type="dxa"/>
            <w:vMerge/>
            <w:tcBorders>
              <w:top w:val="single" w:sz="8" w:space="0" w:color="auto"/>
              <w:left w:val="single" w:sz="8" w:space="0" w:color="auto"/>
              <w:bottom w:val="single" w:sz="8" w:space="0" w:color="000000"/>
              <w:right w:val="single" w:sz="8" w:space="0" w:color="auto"/>
            </w:tcBorders>
            <w:vAlign w:val="center"/>
          </w:tcPr>
          <w:p w:rsidR="00291C12" w:rsidRPr="0072251B" w:rsidRDefault="00291C12">
            <w:pPr>
              <w:rPr>
                <w:b/>
                <w:bCs/>
                <w:sz w:val="20"/>
                <w:szCs w:val="20"/>
                <w:lang w:val="uk-UA"/>
              </w:rPr>
            </w:pPr>
          </w:p>
        </w:tc>
        <w:tc>
          <w:tcPr>
            <w:tcW w:w="986" w:type="dxa"/>
            <w:tcBorders>
              <w:top w:val="nil"/>
              <w:left w:val="nil"/>
              <w:bottom w:val="single" w:sz="8" w:space="0" w:color="auto"/>
              <w:right w:val="single" w:sz="8" w:space="0" w:color="auto"/>
            </w:tcBorders>
            <w:vAlign w:val="bottom"/>
          </w:tcPr>
          <w:p w:rsidR="00291C12" w:rsidRPr="0072251B" w:rsidRDefault="00291C12">
            <w:pPr>
              <w:ind w:left="-108"/>
              <w:jc w:val="center"/>
              <w:rPr>
                <w:b/>
                <w:bCs/>
                <w:sz w:val="18"/>
                <w:szCs w:val="18"/>
                <w:lang w:val="uk-UA"/>
              </w:rPr>
            </w:pPr>
            <w:r w:rsidRPr="0072251B">
              <w:rPr>
                <w:b/>
                <w:bCs/>
                <w:sz w:val="18"/>
                <w:szCs w:val="18"/>
                <w:lang w:val="uk-UA"/>
              </w:rPr>
              <w:t>2017</w:t>
            </w:r>
          </w:p>
        </w:tc>
        <w:tc>
          <w:tcPr>
            <w:tcW w:w="992" w:type="dxa"/>
            <w:tcBorders>
              <w:top w:val="nil"/>
              <w:left w:val="nil"/>
              <w:bottom w:val="single" w:sz="8" w:space="0" w:color="auto"/>
              <w:right w:val="single" w:sz="8" w:space="0" w:color="auto"/>
            </w:tcBorders>
            <w:vAlign w:val="bottom"/>
          </w:tcPr>
          <w:p w:rsidR="00291C12" w:rsidRPr="0072251B" w:rsidRDefault="00291C12">
            <w:pPr>
              <w:ind w:left="-108"/>
              <w:jc w:val="center"/>
              <w:rPr>
                <w:b/>
                <w:bCs/>
                <w:sz w:val="18"/>
                <w:szCs w:val="18"/>
                <w:lang w:val="uk-UA"/>
              </w:rPr>
            </w:pPr>
            <w:r w:rsidRPr="0072251B">
              <w:rPr>
                <w:b/>
                <w:bCs/>
                <w:sz w:val="18"/>
                <w:szCs w:val="18"/>
                <w:lang w:val="uk-UA"/>
              </w:rPr>
              <w:t>2018</w:t>
            </w:r>
          </w:p>
        </w:tc>
        <w:tc>
          <w:tcPr>
            <w:tcW w:w="993" w:type="dxa"/>
            <w:tcBorders>
              <w:top w:val="nil"/>
              <w:left w:val="nil"/>
              <w:bottom w:val="single" w:sz="8" w:space="0" w:color="auto"/>
              <w:right w:val="single" w:sz="8" w:space="0" w:color="auto"/>
            </w:tcBorders>
            <w:vAlign w:val="bottom"/>
          </w:tcPr>
          <w:p w:rsidR="00291C12" w:rsidRPr="0072251B" w:rsidRDefault="00291C12" w:rsidP="0020281E">
            <w:pPr>
              <w:ind w:left="-108"/>
              <w:jc w:val="center"/>
              <w:rPr>
                <w:b/>
                <w:bCs/>
                <w:sz w:val="18"/>
                <w:szCs w:val="18"/>
                <w:lang w:val="uk-UA"/>
              </w:rPr>
            </w:pPr>
            <w:r w:rsidRPr="0072251B">
              <w:rPr>
                <w:b/>
                <w:bCs/>
                <w:sz w:val="18"/>
                <w:szCs w:val="18"/>
                <w:lang w:val="uk-UA"/>
              </w:rPr>
              <w:t>2017</w:t>
            </w:r>
          </w:p>
        </w:tc>
        <w:tc>
          <w:tcPr>
            <w:tcW w:w="992" w:type="dxa"/>
            <w:tcBorders>
              <w:top w:val="nil"/>
              <w:left w:val="nil"/>
              <w:bottom w:val="single" w:sz="8" w:space="0" w:color="auto"/>
              <w:right w:val="single" w:sz="8" w:space="0" w:color="auto"/>
            </w:tcBorders>
            <w:vAlign w:val="bottom"/>
          </w:tcPr>
          <w:p w:rsidR="00291C12" w:rsidRPr="0072251B" w:rsidRDefault="00291C12" w:rsidP="0020281E">
            <w:pPr>
              <w:ind w:left="-108"/>
              <w:jc w:val="center"/>
              <w:rPr>
                <w:b/>
                <w:bCs/>
                <w:sz w:val="18"/>
                <w:szCs w:val="18"/>
                <w:lang w:val="uk-UA"/>
              </w:rPr>
            </w:pPr>
            <w:r w:rsidRPr="0072251B">
              <w:rPr>
                <w:b/>
                <w:bCs/>
                <w:sz w:val="18"/>
                <w:szCs w:val="18"/>
                <w:lang w:val="uk-UA"/>
              </w:rPr>
              <w:t>2018</w:t>
            </w:r>
          </w:p>
        </w:tc>
        <w:tc>
          <w:tcPr>
            <w:tcW w:w="1843" w:type="dxa"/>
            <w:gridSpan w:val="2"/>
            <w:tcBorders>
              <w:top w:val="nil"/>
              <w:left w:val="nil"/>
              <w:bottom w:val="single" w:sz="8" w:space="0" w:color="auto"/>
              <w:right w:val="single" w:sz="8" w:space="0" w:color="000000"/>
            </w:tcBorders>
            <w:vAlign w:val="bottom"/>
          </w:tcPr>
          <w:p w:rsidR="00291C12" w:rsidRPr="0072251B" w:rsidRDefault="00291C12" w:rsidP="004C33FF">
            <w:pPr>
              <w:jc w:val="center"/>
              <w:rPr>
                <w:b/>
                <w:bCs/>
                <w:sz w:val="18"/>
                <w:szCs w:val="18"/>
                <w:lang w:val="uk-UA"/>
              </w:rPr>
            </w:pPr>
            <w:r w:rsidRPr="0072251B">
              <w:rPr>
                <w:b/>
                <w:bCs/>
                <w:sz w:val="18"/>
                <w:szCs w:val="18"/>
                <w:lang w:val="uk-UA"/>
              </w:rPr>
              <w:t>2018/2017</w:t>
            </w:r>
          </w:p>
        </w:tc>
      </w:tr>
      <w:tr w:rsidR="00291C12" w:rsidRPr="0072251B" w:rsidTr="00291C12">
        <w:trPr>
          <w:trHeight w:val="136"/>
        </w:trPr>
        <w:tc>
          <w:tcPr>
            <w:tcW w:w="4156" w:type="dxa"/>
            <w:tcBorders>
              <w:top w:val="nil"/>
              <w:left w:val="single" w:sz="8" w:space="0" w:color="auto"/>
              <w:bottom w:val="nil"/>
              <w:right w:val="single" w:sz="8" w:space="0" w:color="auto"/>
            </w:tcBorders>
            <w:shd w:val="clear" w:color="auto" w:fill="C0C0C0"/>
            <w:noWrap/>
            <w:vAlign w:val="bottom"/>
          </w:tcPr>
          <w:p w:rsidR="00291C12" w:rsidRPr="0072251B" w:rsidRDefault="00291C12">
            <w:pPr>
              <w:jc w:val="center"/>
              <w:rPr>
                <w:b/>
                <w:bCs/>
                <w:sz w:val="16"/>
                <w:szCs w:val="16"/>
                <w:lang w:val="uk-UA"/>
              </w:rPr>
            </w:pPr>
            <w:r w:rsidRPr="0072251B">
              <w:rPr>
                <w:b/>
                <w:bCs/>
                <w:sz w:val="16"/>
                <w:szCs w:val="16"/>
                <w:lang w:val="uk-UA"/>
              </w:rPr>
              <w:t>1</w:t>
            </w:r>
          </w:p>
        </w:tc>
        <w:tc>
          <w:tcPr>
            <w:tcW w:w="986" w:type="dxa"/>
            <w:tcBorders>
              <w:top w:val="nil"/>
              <w:left w:val="nil"/>
              <w:bottom w:val="single" w:sz="4" w:space="0" w:color="auto"/>
              <w:right w:val="single" w:sz="8" w:space="0" w:color="auto"/>
            </w:tcBorders>
            <w:shd w:val="clear" w:color="auto" w:fill="C0C0C0"/>
            <w:noWrap/>
            <w:vAlign w:val="bottom"/>
          </w:tcPr>
          <w:p w:rsidR="00291C12" w:rsidRPr="0072251B" w:rsidRDefault="00291C12">
            <w:pPr>
              <w:jc w:val="center"/>
              <w:rPr>
                <w:b/>
                <w:bCs/>
                <w:sz w:val="16"/>
                <w:szCs w:val="16"/>
                <w:lang w:val="uk-UA"/>
              </w:rPr>
            </w:pPr>
            <w:r w:rsidRPr="0072251B">
              <w:rPr>
                <w:b/>
                <w:bCs/>
                <w:sz w:val="16"/>
                <w:szCs w:val="16"/>
                <w:lang w:val="uk-UA"/>
              </w:rPr>
              <w:t>2</w:t>
            </w:r>
          </w:p>
        </w:tc>
        <w:tc>
          <w:tcPr>
            <w:tcW w:w="992" w:type="dxa"/>
            <w:tcBorders>
              <w:top w:val="nil"/>
              <w:left w:val="nil"/>
              <w:bottom w:val="single" w:sz="4" w:space="0" w:color="auto"/>
              <w:right w:val="single" w:sz="8" w:space="0" w:color="auto"/>
            </w:tcBorders>
            <w:shd w:val="clear" w:color="auto" w:fill="C0C0C0"/>
            <w:noWrap/>
            <w:vAlign w:val="bottom"/>
          </w:tcPr>
          <w:p w:rsidR="00291C12" w:rsidRPr="0072251B" w:rsidRDefault="00291C12">
            <w:pPr>
              <w:jc w:val="center"/>
              <w:rPr>
                <w:b/>
                <w:bCs/>
                <w:sz w:val="16"/>
                <w:szCs w:val="16"/>
                <w:lang w:val="uk-UA"/>
              </w:rPr>
            </w:pPr>
            <w:r w:rsidRPr="0072251B">
              <w:rPr>
                <w:b/>
                <w:bCs/>
                <w:sz w:val="16"/>
                <w:szCs w:val="16"/>
                <w:lang w:val="uk-UA"/>
              </w:rPr>
              <w:t>3</w:t>
            </w:r>
          </w:p>
        </w:tc>
        <w:tc>
          <w:tcPr>
            <w:tcW w:w="993" w:type="dxa"/>
            <w:tcBorders>
              <w:top w:val="nil"/>
              <w:left w:val="nil"/>
              <w:bottom w:val="single" w:sz="4" w:space="0" w:color="auto"/>
              <w:right w:val="single" w:sz="8" w:space="0" w:color="auto"/>
            </w:tcBorders>
            <w:shd w:val="clear" w:color="auto" w:fill="C0C0C0"/>
            <w:noWrap/>
            <w:vAlign w:val="bottom"/>
          </w:tcPr>
          <w:p w:rsidR="00291C12" w:rsidRPr="0072251B" w:rsidRDefault="00291C12">
            <w:pPr>
              <w:jc w:val="center"/>
              <w:rPr>
                <w:b/>
                <w:bCs/>
                <w:sz w:val="16"/>
                <w:szCs w:val="16"/>
                <w:lang w:val="uk-UA"/>
              </w:rPr>
            </w:pPr>
            <w:r w:rsidRPr="0072251B">
              <w:rPr>
                <w:b/>
                <w:bCs/>
                <w:sz w:val="16"/>
                <w:szCs w:val="16"/>
                <w:lang w:val="uk-UA"/>
              </w:rPr>
              <w:t>4</w:t>
            </w:r>
          </w:p>
        </w:tc>
        <w:tc>
          <w:tcPr>
            <w:tcW w:w="992" w:type="dxa"/>
            <w:tcBorders>
              <w:top w:val="nil"/>
              <w:left w:val="nil"/>
              <w:bottom w:val="single" w:sz="4" w:space="0" w:color="auto"/>
              <w:right w:val="single" w:sz="8" w:space="0" w:color="auto"/>
            </w:tcBorders>
            <w:shd w:val="clear" w:color="auto" w:fill="C0C0C0"/>
            <w:noWrap/>
            <w:vAlign w:val="bottom"/>
          </w:tcPr>
          <w:p w:rsidR="00291C12" w:rsidRPr="0072251B" w:rsidRDefault="00291C12">
            <w:pPr>
              <w:jc w:val="center"/>
              <w:rPr>
                <w:b/>
                <w:bCs/>
                <w:sz w:val="16"/>
                <w:szCs w:val="16"/>
                <w:lang w:val="uk-UA"/>
              </w:rPr>
            </w:pPr>
            <w:r w:rsidRPr="0072251B">
              <w:rPr>
                <w:b/>
                <w:bCs/>
                <w:sz w:val="16"/>
                <w:szCs w:val="16"/>
                <w:lang w:val="uk-UA"/>
              </w:rPr>
              <w:t>5</w:t>
            </w:r>
          </w:p>
        </w:tc>
        <w:tc>
          <w:tcPr>
            <w:tcW w:w="992" w:type="dxa"/>
            <w:tcBorders>
              <w:top w:val="nil"/>
              <w:left w:val="nil"/>
              <w:bottom w:val="single" w:sz="4" w:space="0" w:color="auto"/>
              <w:right w:val="single" w:sz="8" w:space="0" w:color="auto"/>
            </w:tcBorders>
            <w:shd w:val="clear" w:color="auto" w:fill="C0C0C0"/>
            <w:noWrap/>
            <w:vAlign w:val="bottom"/>
          </w:tcPr>
          <w:p w:rsidR="00291C12" w:rsidRPr="0072251B" w:rsidRDefault="00291C12">
            <w:pPr>
              <w:jc w:val="center"/>
              <w:rPr>
                <w:b/>
                <w:bCs/>
                <w:sz w:val="16"/>
                <w:szCs w:val="16"/>
                <w:lang w:val="uk-UA"/>
              </w:rPr>
            </w:pPr>
            <w:r w:rsidRPr="0072251B">
              <w:rPr>
                <w:b/>
                <w:bCs/>
                <w:sz w:val="16"/>
                <w:szCs w:val="16"/>
                <w:lang w:val="uk-UA"/>
              </w:rPr>
              <w:t>10</w:t>
            </w:r>
          </w:p>
        </w:tc>
        <w:tc>
          <w:tcPr>
            <w:tcW w:w="851" w:type="dxa"/>
            <w:tcBorders>
              <w:top w:val="nil"/>
              <w:left w:val="nil"/>
              <w:bottom w:val="single" w:sz="4" w:space="0" w:color="auto"/>
              <w:right w:val="single" w:sz="8" w:space="0" w:color="auto"/>
            </w:tcBorders>
            <w:shd w:val="clear" w:color="auto" w:fill="C0C0C0"/>
            <w:noWrap/>
            <w:vAlign w:val="bottom"/>
          </w:tcPr>
          <w:p w:rsidR="00291C12" w:rsidRPr="0072251B" w:rsidRDefault="00291C12">
            <w:pPr>
              <w:jc w:val="center"/>
              <w:rPr>
                <w:b/>
                <w:bCs/>
                <w:sz w:val="16"/>
                <w:szCs w:val="16"/>
                <w:lang w:val="uk-UA"/>
              </w:rPr>
            </w:pPr>
            <w:r w:rsidRPr="0072251B">
              <w:rPr>
                <w:b/>
                <w:bCs/>
                <w:sz w:val="16"/>
                <w:szCs w:val="16"/>
                <w:lang w:val="uk-UA"/>
              </w:rPr>
              <w:t>11</w:t>
            </w:r>
          </w:p>
        </w:tc>
      </w:tr>
      <w:tr w:rsidR="00291C12" w:rsidRPr="0072251B" w:rsidTr="00291C12">
        <w:trPr>
          <w:trHeight w:val="93"/>
        </w:trPr>
        <w:tc>
          <w:tcPr>
            <w:tcW w:w="4156" w:type="dxa"/>
            <w:tcBorders>
              <w:top w:val="single" w:sz="8" w:space="0" w:color="auto"/>
              <w:left w:val="single" w:sz="8" w:space="0" w:color="auto"/>
              <w:bottom w:val="single" w:sz="8" w:space="0" w:color="auto"/>
              <w:right w:val="single" w:sz="4" w:space="0" w:color="auto"/>
            </w:tcBorders>
            <w:vAlign w:val="bottom"/>
          </w:tcPr>
          <w:p w:rsidR="00291C12" w:rsidRPr="00EA1119" w:rsidRDefault="00EA1119">
            <w:pPr>
              <w:rPr>
                <w:b/>
                <w:bCs/>
                <w:sz w:val="18"/>
                <w:szCs w:val="18"/>
                <w:lang w:val="en-US"/>
              </w:rPr>
            </w:pPr>
            <w:r>
              <w:rPr>
                <w:b/>
                <w:bCs/>
                <w:sz w:val="18"/>
                <w:szCs w:val="18"/>
                <w:lang w:val="en-US"/>
              </w:rPr>
              <w:t>Life insurance</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b/>
                <w:bCs/>
                <w:sz w:val="20"/>
                <w:szCs w:val="20"/>
                <w:lang w:val="uk-UA"/>
              </w:rPr>
            </w:pPr>
            <w:r w:rsidRPr="0072251B">
              <w:rPr>
                <w:b/>
                <w:bCs/>
                <w:sz w:val="20"/>
                <w:szCs w:val="20"/>
                <w:lang w:val="uk-UA"/>
              </w:rPr>
              <w:t>2 913,7</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b/>
                <w:bCs/>
                <w:sz w:val="20"/>
                <w:szCs w:val="20"/>
                <w:lang w:val="uk-UA"/>
              </w:rPr>
            </w:pPr>
            <w:r w:rsidRPr="0072251B">
              <w:rPr>
                <w:b/>
                <w:bCs/>
                <w:sz w:val="20"/>
                <w:szCs w:val="20"/>
                <w:lang w:val="uk-UA"/>
              </w:rPr>
              <w:t>3 906,1</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b/>
                <w:bCs/>
                <w:sz w:val="20"/>
                <w:szCs w:val="20"/>
                <w:lang w:val="uk-UA"/>
              </w:rPr>
            </w:pPr>
            <w:r w:rsidRPr="0072251B">
              <w:rPr>
                <w:b/>
                <w:bCs/>
                <w:sz w:val="20"/>
                <w:szCs w:val="20"/>
                <w:lang w:val="uk-UA"/>
              </w:rPr>
              <w:t>2 913,7</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3 906,1</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34,1%</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34,1%</w:t>
            </w:r>
          </w:p>
        </w:tc>
      </w:tr>
      <w:tr w:rsidR="00291C12" w:rsidRPr="0072251B" w:rsidTr="00291C12">
        <w:trPr>
          <w:trHeight w:val="293"/>
        </w:trPr>
        <w:tc>
          <w:tcPr>
            <w:tcW w:w="4156" w:type="dxa"/>
            <w:tcBorders>
              <w:top w:val="nil"/>
              <w:left w:val="single" w:sz="8" w:space="0" w:color="auto"/>
              <w:bottom w:val="single" w:sz="8" w:space="0" w:color="auto"/>
              <w:right w:val="single" w:sz="4" w:space="0" w:color="auto"/>
            </w:tcBorders>
            <w:vAlign w:val="bottom"/>
          </w:tcPr>
          <w:p w:rsidR="00291C12" w:rsidRPr="00EA1119" w:rsidRDefault="00EA1119">
            <w:pPr>
              <w:rPr>
                <w:b/>
                <w:bCs/>
                <w:sz w:val="18"/>
                <w:szCs w:val="18"/>
                <w:lang w:val="en-US"/>
              </w:rPr>
            </w:pPr>
            <w:r>
              <w:rPr>
                <w:b/>
                <w:bCs/>
                <w:sz w:val="18"/>
                <w:szCs w:val="18"/>
                <w:lang w:val="en-US"/>
              </w:rPr>
              <w:t>Non-life insurance including</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b/>
                <w:bCs/>
                <w:sz w:val="20"/>
                <w:szCs w:val="20"/>
                <w:lang w:val="uk-UA"/>
              </w:rPr>
            </w:pPr>
            <w:r w:rsidRPr="0072251B">
              <w:rPr>
                <w:b/>
                <w:bCs/>
                <w:sz w:val="20"/>
                <w:szCs w:val="20"/>
                <w:lang w:val="uk-UA"/>
              </w:rPr>
              <w:t>40 518,1</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b/>
                <w:bCs/>
                <w:sz w:val="20"/>
                <w:szCs w:val="20"/>
                <w:lang w:val="uk-UA"/>
              </w:rPr>
            </w:pPr>
            <w:r w:rsidRPr="0072251B">
              <w:rPr>
                <w:b/>
                <w:bCs/>
                <w:sz w:val="20"/>
                <w:szCs w:val="20"/>
                <w:lang w:val="uk-UA"/>
              </w:rPr>
              <w:t>45 461,4</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b/>
                <w:bCs/>
                <w:sz w:val="20"/>
                <w:szCs w:val="20"/>
                <w:lang w:val="uk-UA"/>
              </w:rPr>
            </w:pPr>
            <w:r w:rsidRPr="0072251B">
              <w:rPr>
                <w:b/>
                <w:bCs/>
                <w:sz w:val="20"/>
                <w:szCs w:val="20"/>
                <w:lang w:val="uk-UA"/>
              </w:rPr>
              <w:t>25 580,7</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30 518,2</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12,2%</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19,3%</w:t>
            </w:r>
          </w:p>
        </w:tc>
      </w:tr>
      <w:tr w:rsidR="00291C12" w:rsidRPr="0072251B" w:rsidTr="00291C12">
        <w:trPr>
          <w:trHeight w:val="151"/>
        </w:trPr>
        <w:tc>
          <w:tcPr>
            <w:tcW w:w="4156" w:type="dxa"/>
            <w:tcBorders>
              <w:top w:val="nil"/>
              <w:left w:val="single" w:sz="8" w:space="0" w:color="auto"/>
              <w:bottom w:val="single" w:sz="8" w:space="0" w:color="auto"/>
              <w:right w:val="single" w:sz="4" w:space="0" w:color="auto"/>
            </w:tcBorders>
            <w:vAlign w:val="bottom"/>
          </w:tcPr>
          <w:p w:rsidR="00291C12" w:rsidRPr="00EA1119" w:rsidRDefault="00EA1119">
            <w:pPr>
              <w:rPr>
                <w:sz w:val="18"/>
                <w:szCs w:val="18"/>
                <w:lang w:val="en-US"/>
              </w:rPr>
            </w:pPr>
            <w:r w:rsidRPr="00EA1119">
              <w:rPr>
                <w:sz w:val="18"/>
                <w:szCs w:val="18"/>
                <w:lang w:val="en-US"/>
              </w:rPr>
              <w:t>Voluntary personal insurance</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sz w:val="20"/>
                <w:szCs w:val="20"/>
                <w:lang w:val="uk-UA"/>
              </w:rPr>
            </w:pPr>
            <w:r w:rsidRPr="0072251B">
              <w:rPr>
                <w:sz w:val="20"/>
                <w:szCs w:val="20"/>
                <w:lang w:val="uk-UA"/>
              </w:rPr>
              <w:t>5 485,9</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sz w:val="20"/>
                <w:szCs w:val="20"/>
                <w:lang w:val="uk-UA"/>
              </w:rPr>
            </w:pPr>
            <w:r w:rsidRPr="0072251B">
              <w:rPr>
                <w:sz w:val="20"/>
                <w:szCs w:val="20"/>
                <w:lang w:val="uk-UA"/>
              </w:rPr>
              <w:t>7 078,7</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sz w:val="20"/>
                <w:szCs w:val="20"/>
                <w:lang w:val="uk-UA"/>
              </w:rPr>
            </w:pPr>
            <w:r w:rsidRPr="0072251B">
              <w:rPr>
                <w:sz w:val="20"/>
                <w:szCs w:val="20"/>
                <w:lang w:val="uk-UA"/>
              </w:rPr>
              <w:t>4 904,9</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sz w:val="20"/>
                <w:szCs w:val="20"/>
                <w:lang w:val="uk-UA"/>
              </w:rPr>
            </w:pPr>
            <w:r w:rsidRPr="0072251B">
              <w:rPr>
                <w:sz w:val="20"/>
                <w:szCs w:val="20"/>
                <w:lang w:val="uk-UA"/>
              </w:rPr>
              <w:t>6 144,7</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29,0%</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25,3%</w:t>
            </w:r>
          </w:p>
        </w:tc>
      </w:tr>
      <w:tr w:rsidR="00291C12" w:rsidRPr="0072251B" w:rsidTr="00291C12">
        <w:trPr>
          <w:trHeight w:val="281"/>
        </w:trPr>
        <w:tc>
          <w:tcPr>
            <w:tcW w:w="4156" w:type="dxa"/>
            <w:tcBorders>
              <w:top w:val="nil"/>
              <w:left w:val="single" w:sz="8" w:space="0" w:color="auto"/>
              <w:bottom w:val="single" w:sz="8" w:space="0" w:color="auto"/>
              <w:right w:val="single" w:sz="4" w:space="0" w:color="auto"/>
            </w:tcBorders>
            <w:vAlign w:val="bottom"/>
          </w:tcPr>
          <w:p w:rsidR="00291C12" w:rsidRPr="0072251B" w:rsidRDefault="00EA1119">
            <w:pPr>
              <w:rPr>
                <w:sz w:val="18"/>
                <w:szCs w:val="18"/>
                <w:lang w:val="uk-UA"/>
              </w:rPr>
            </w:pPr>
            <w:r w:rsidRPr="00EA1119">
              <w:rPr>
                <w:sz w:val="18"/>
                <w:szCs w:val="18"/>
                <w:lang w:val="uk-UA"/>
              </w:rPr>
              <w:lastRenderedPageBreak/>
              <w:t>Voluntary property insurance</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sz w:val="20"/>
                <w:szCs w:val="20"/>
                <w:lang w:val="uk-UA"/>
              </w:rPr>
            </w:pPr>
            <w:r w:rsidRPr="0072251B">
              <w:rPr>
                <w:sz w:val="20"/>
                <w:szCs w:val="20"/>
                <w:lang w:val="uk-UA"/>
              </w:rPr>
              <w:t>25 495,6</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sz w:val="20"/>
                <w:szCs w:val="20"/>
                <w:lang w:val="uk-UA"/>
              </w:rPr>
            </w:pPr>
            <w:r w:rsidRPr="0072251B">
              <w:rPr>
                <w:sz w:val="20"/>
                <w:szCs w:val="20"/>
                <w:lang w:val="uk-UA"/>
              </w:rPr>
              <w:t>27 692,2</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sz w:val="20"/>
                <w:szCs w:val="20"/>
                <w:lang w:val="uk-UA"/>
              </w:rPr>
            </w:pPr>
            <w:r w:rsidRPr="0072251B">
              <w:rPr>
                <w:sz w:val="20"/>
                <w:szCs w:val="20"/>
                <w:lang w:val="uk-UA"/>
              </w:rPr>
              <w:t>12 893,0</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sz w:val="20"/>
                <w:szCs w:val="20"/>
                <w:lang w:val="uk-UA"/>
              </w:rPr>
            </w:pPr>
            <w:r w:rsidRPr="0072251B">
              <w:rPr>
                <w:sz w:val="20"/>
                <w:szCs w:val="20"/>
                <w:lang w:val="uk-UA"/>
              </w:rPr>
              <w:t>15 342,4</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8,6%</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19,0%</w:t>
            </w:r>
          </w:p>
        </w:tc>
      </w:tr>
      <w:tr w:rsidR="00291C12" w:rsidRPr="0072251B" w:rsidTr="00291C12">
        <w:trPr>
          <w:trHeight w:val="35"/>
        </w:trPr>
        <w:tc>
          <w:tcPr>
            <w:tcW w:w="4156" w:type="dxa"/>
            <w:tcBorders>
              <w:top w:val="nil"/>
              <w:left w:val="single" w:sz="8" w:space="0" w:color="auto"/>
              <w:bottom w:val="single" w:sz="8" w:space="0" w:color="auto"/>
              <w:right w:val="single" w:sz="4" w:space="0" w:color="auto"/>
            </w:tcBorders>
            <w:shd w:val="clear" w:color="auto" w:fill="FFFFFF"/>
            <w:vAlign w:val="bottom"/>
          </w:tcPr>
          <w:p w:rsidR="00291C12" w:rsidRPr="00EA1119" w:rsidRDefault="00291C12">
            <w:pPr>
              <w:rPr>
                <w:i/>
                <w:iCs/>
                <w:sz w:val="18"/>
                <w:szCs w:val="18"/>
                <w:lang w:val="en-US"/>
              </w:rPr>
            </w:pPr>
            <w:r w:rsidRPr="0072251B">
              <w:rPr>
                <w:i/>
                <w:iCs/>
                <w:sz w:val="18"/>
                <w:szCs w:val="18"/>
                <w:lang w:val="uk-UA"/>
              </w:rPr>
              <w:t xml:space="preserve">- </w:t>
            </w:r>
            <w:r w:rsidR="00EA1119">
              <w:rPr>
                <w:i/>
                <w:iCs/>
                <w:sz w:val="18"/>
                <w:szCs w:val="18"/>
                <w:lang w:val="en-US"/>
              </w:rPr>
              <w:t>including financial risk insurance</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sz w:val="20"/>
                <w:szCs w:val="20"/>
                <w:lang w:val="uk-UA"/>
              </w:rPr>
            </w:pPr>
            <w:r w:rsidRPr="0072251B">
              <w:rPr>
                <w:sz w:val="20"/>
                <w:szCs w:val="20"/>
                <w:lang w:val="uk-UA"/>
              </w:rPr>
              <w:t>5 594,4</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sz w:val="20"/>
                <w:szCs w:val="20"/>
                <w:lang w:val="uk-UA"/>
              </w:rPr>
            </w:pPr>
            <w:r w:rsidRPr="0072251B">
              <w:rPr>
                <w:sz w:val="20"/>
                <w:szCs w:val="20"/>
                <w:lang w:val="uk-UA"/>
              </w:rPr>
              <w:t>5 135,5</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sz w:val="20"/>
                <w:szCs w:val="20"/>
                <w:lang w:val="uk-UA"/>
              </w:rPr>
            </w:pPr>
            <w:r w:rsidRPr="0072251B">
              <w:rPr>
                <w:sz w:val="20"/>
                <w:szCs w:val="20"/>
                <w:lang w:val="uk-UA"/>
              </w:rPr>
              <w:t>1 829,5</w:t>
            </w:r>
          </w:p>
        </w:tc>
        <w:tc>
          <w:tcPr>
            <w:tcW w:w="992" w:type="dxa"/>
            <w:tcBorders>
              <w:top w:val="single" w:sz="4" w:space="0" w:color="auto"/>
              <w:left w:val="single" w:sz="4" w:space="0" w:color="auto"/>
              <w:bottom w:val="single" w:sz="4" w:space="0" w:color="auto"/>
              <w:right w:val="single" w:sz="4" w:space="0" w:color="auto"/>
            </w:tcBorders>
            <w:noWrap/>
            <w:vAlign w:val="bottom"/>
          </w:tcPr>
          <w:p w:rsidR="00291C12" w:rsidRPr="0072251B" w:rsidRDefault="00291C12" w:rsidP="008E7D1A">
            <w:pPr>
              <w:jc w:val="right"/>
              <w:rPr>
                <w:sz w:val="20"/>
                <w:szCs w:val="20"/>
                <w:lang w:val="uk-UA"/>
              </w:rPr>
            </w:pPr>
            <w:r w:rsidRPr="0072251B">
              <w:rPr>
                <w:sz w:val="20"/>
                <w:szCs w:val="20"/>
                <w:lang w:val="uk-UA"/>
              </w:rPr>
              <w:t>1 663,8</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-8,2%</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-9,1%</w:t>
            </w:r>
          </w:p>
        </w:tc>
      </w:tr>
      <w:tr w:rsidR="00291C12" w:rsidRPr="0072251B" w:rsidTr="00291C12">
        <w:trPr>
          <w:trHeight w:val="58"/>
        </w:trPr>
        <w:tc>
          <w:tcPr>
            <w:tcW w:w="4156" w:type="dxa"/>
            <w:tcBorders>
              <w:top w:val="nil"/>
              <w:left w:val="single" w:sz="8" w:space="0" w:color="auto"/>
              <w:bottom w:val="single" w:sz="8" w:space="0" w:color="auto"/>
              <w:right w:val="single" w:sz="4" w:space="0" w:color="auto"/>
            </w:tcBorders>
            <w:vAlign w:val="bottom"/>
          </w:tcPr>
          <w:p w:rsidR="00291C12" w:rsidRPr="00EA1119" w:rsidRDefault="00EA1119">
            <w:pPr>
              <w:rPr>
                <w:sz w:val="18"/>
                <w:szCs w:val="18"/>
                <w:lang w:val="en-US"/>
              </w:rPr>
            </w:pPr>
            <w:r>
              <w:rPr>
                <w:sz w:val="18"/>
                <w:szCs w:val="18"/>
                <w:lang w:val="en-US"/>
              </w:rPr>
              <w:t>Voluntary liability insurance</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sz w:val="20"/>
                <w:szCs w:val="20"/>
                <w:lang w:val="uk-UA"/>
              </w:rPr>
            </w:pPr>
            <w:r w:rsidRPr="0072251B">
              <w:rPr>
                <w:sz w:val="20"/>
                <w:szCs w:val="20"/>
                <w:lang w:val="uk-UA"/>
              </w:rPr>
              <w:t>3 254,6</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sz w:val="20"/>
                <w:szCs w:val="20"/>
                <w:lang w:val="uk-UA"/>
              </w:rPr>
            </w:pPr>
            <w:r w:rsidRPr="0072251B">
              <w:rPr>
                <w:sz w:val="20"/>
                <w:szCs w:val="20"/>
                <w:lang w:val="uk-UA"/>
              </w:rPr>
              <w:t>3 116,7</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sz w:val="20"/>
                <w:szCs w:val="20"/>
                <w:lang w:val="uk-UA"/>
              </w:rPr>
            </w:pPr>
            <w:r w:rsidRPr="0072251B">
              <w:rPr>
                <w:sz w:val="20"/>
                <w:szCs w:val="20"/>
                <w:lang w:val="uk-UA"/>
              </w:rPr>
              <w:t>1 918,8</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sz w:val="20"/>
                <w:szCs w:val="20"/>
                <w:lang w:val="uk-UA"/>
              </w:rPr>
            </w:pPr>
            <w:r w:rsidRPr="0072251B">
              <w:rPr>
                <w:sz w:val="20"/>
                <w:szCs w:val="20"/>
                <w:lang w:val="uk-UA"/>
              </w:rPr>
              <w:t>2 085,5</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-4,2%</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8,7%</w:t>
            </w:r>
          </w:p>
        </w:tc>
      </w:tr>
      <w:tr w:rsidR="00291C12" w:rsidRPr="0072251B" w:rsidTr="00291C12">
        <w:trPr>
          <w:trHeight w:val="110"/>
        </w:trPr>
        <w:tc>
          <w:tcPr>
            <w:tcW w:w="4156" w:type="dxa"/>
            <w:tcBorders>
              <w:top w:val="nil"/>
              <w:left w:val="single" w:sz="8" w:space="0" w:color="auto"/>
              <w:bottom w:val="single" w:sz="8" w:space="0" w:color="auto"/>
              <w:right w:val="single" w:sz="4" w:space="0" w:color="auto"/>
            </w:tcBorders>
            <w:vAlign w:val="bottom"/>
          </w:tcPr>
          <w:p w:rsidR="00291C12" w:rsidRPr="00EA1119" w:rsidRDefault="00EA1119">
            <w:pPr>
              <w:rPr>
                <w:sz w:val="18"/>
                <w:szCs w:val="18"/>
                <w:lang w:val="en-US"/>
              </w:rPr>
            </w:pPr>
            <w:r>
              <w:rPr>
                <w:sz w:val="18"/>
                <w:szCs w:val="18"/>
                <w:lang w:val="en-US"/>
              </w:rPr>
              <w:t>Non-state compulsory insurance</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sz w:val="20"/>
                <w:szCs w:val="20"/>
                <w:lang w:val="uk-UA"/>
              </w:rPr>
            </w:pPr>
            <w:r w:rsidRPr="0072251B">
              <w:rPr>
                <w:sz w:val="20"/>
                <w:szCs w:val="20"/>
                <w:lang w:val="uk-UA"/>
              </w:rPr>
              <w:t>6 282,0</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sz w:val="20"/>
                <w:szCs w:val="20"/>
                <w:lang w:val="uk-UA"/>
              </w:rPr>
            </w:pPr>
            <w:r w:rsidRPr="0072251B">
              <w:rPr>
                <w:sz w:val="20"/>
                <w:szCs w:val="20"/>
                <w:lang w:val="uk-UA"/>
              </w:rPr>
              <w:t>7 573,8</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sz w:val="20"/>
                <w:szCs w:val="20"/>
                <w:lang w:val="uk-UA"/>
              </w:rPr>
            </w:pPr>
            <w:r w:rsidRPr="0072251B">
              <w:rPr>
                <w:sz w:val="20"/>
                <w:szCs w:val="20"/>
                <w:lang w:val="uk-UA"/>
              </w:rPr>
              <w:t>5 864,0</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sz w:val="20"/>
                <w:szCs w:val="20"/>
                <w:lang w:val="uk-UA"/>
              </w:rPr>
            </w:pPr>
            <w:r w:rsidRPr="0072251B">
              <w:rPr>
                <w:sz w:val="20"/>
                <w:szCs w:val="20"/>
                <w:lang w:val="uk-UA"/>
              </w:rPr>
              <w:t>6 945,6</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20,6%</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18,4%</w:t>
            </w:r>
          </w:p>
        </w:tc>
      </w:tr>
      <w:tr w:rsidR="00291C12" w:rsidRPr="0072251B" w:rsidTr="00291C12">
        <w:trPr>
          <w:trHeight w:val="325"/>
        </w:trPr>
        <w:tc>
          <w:tcPr>
            <w:tcW w:w="4156" w:type="dxa"/>
            <w:tcBorders>
              <w:top w:val="nil"/>
              <w:left w:val="single" w:sz="8" w:space="0" w:color="auto"/>
              <w:bottom w:val="single" w:sz="8" w:space="0" w:color="auto"/>
              <w:right w:val="single" w:sz="4" w:space="0" w:color="auto"/>
            </w:tcBorders>
            <w:vAlign w:val="bottom"/>
          </w:tcPr>
          <w:p w:rsidR="00291C12" w:rsidRPr="00EA1119" w:rsidRDefault="00291C12">
            <w:pPr>
              <w:rPr>
                <w:i/>
                <w:iCs/>
                <w:sz w:val="18"/>
                <w:szCs w:val="18"/>
                <w:lang w:val="en-US"/>
              </w:rPr>
            </w:pPr>
            <w:r w:rsidRPr="0072251B">
              <w:rPr>
                <w:i/>
                <w:iCs/>
                <w:sz w:val="18"/>
                <w:szCs w:val="18"/>
                <w:lang w:val="uk-UA"/>
              </w:rPr>
              <w:t xml:space="preserve">- </w:t>
            </w:r>
            <w:r w:rsidR="00EA1119">
              <w:rPr>
                <w:i/>
                <w:iCs/>
                <w:sz w:val="18"/>
                <w:szCs w:val="18"/>
                <w:lang w:val="en-US"/>
              </w:rPr>
              <w:t>including</w:t>
            </w:r>
            <w:r w:rsidR="00EA1119" w:rsidRPr="00EA1119">
              <w:rPr>
                <w:i/>
                <w:iCs/>
                <w:sz w:val="18"/>
                <w:szCs w:val="18"/>
                <w:lang w:val="en-US"/>
              </w:rPr>
              <w:t xml:space="preserve"> </w:t>
            </w:r>
            <w:r w:rsidR="00EA1119">
              <w:rPr>
                <w:i/>
                <w:iCs/>
                <w:sz w:val="18"/>
                <w:szCs w:val="18"/>
                <w:lang w:val="en-US"/>
              </w:rPr>
              <w:t>civil</w:t>
            </w:r>
            <w:r w:rsidR="00EA1119" w:rsidRPr="00EA1119">
              <w:rPr>
                <w:i/>
                <w:iCs/>
                <w:sz w:val="18"/>
                <w:szCs w:val="18"/>
                <w:lang w:val="en-US"/>
              </w:rPr>
              <w:t xml:space="preserve"> </w:t>
            </w:r>
            <w:r w:rsidR="00EA1119">
              <w:rPr>
                <w:i/>
                <w:iCs/>
                <w:sz w:val="18"/>
                <w:szCs w:val="18"/>
                <w:lang w:val="en-US"/>
              </w:rPr>
              <w:t>liability</w:t>
            </w:r>
            <w:r w:rsidR="00EA1119" w:rsidRPr="00EA1119">
              <w:rPr>
                <w:i/>
                <w:iCs/>
                <w:sz w:val="18"/>
                <w:szCs w:val="18"/>
                <w:lang w:val="en-US"/>
              </w:rPr>
              <w:t xml:space="preserve"> </w:t>
            </w:r>
            <w:r w:rsidR="00EA1119">
              <w:rPr>
                <w:i/>
                <w:iCs/>
                <w:sz w:val="18"/>
                <w:szCs w:val="18"/>
                <w:lang w:val="en-US"/>
              </w:rPr>
              <w:t>insurance of</w:t>
            </w:r>
            <w:r w:rsidR="00EA1119" w:rsidRPr="00EA1119">
              <w:rPr>
                <w:i/>
                <w:iCs/>
                <w:sz w:val="18"/>
                <w:szCs w:val="18"/>
                <w:lang w:val="en-US"/>
              </w:rPr>
              <w:t xml:space="preserve"> </w:t>
            </w:r>
            <w:r w:rsidR="00EA1119">
              <w:rPr>
                <w:i/>
                <w:iCs/>
                <w:sz w:val="18"/>
                <w:szCs w:val="18"/>
                <w:lang w:val="en-US"/>
              </w:rPr>
              <w:t>vehicle</w:t>
            </w:r>
            <w:r w:rsidR="00EA1119" w:rsidRPr="00EA1119">
              <w:rPr>
                <w:i/>
                <w:iCs/>
                <w:sz w:val="18"/>
                <w:szCs w:val="18"/>
                <w:lang w:val="en-US"/>
              </w:rPr>
              <w:t xml:space="preserve"> </w:t>
            </w:r>
            <w:r w:rsidR="00EA1119">
              <w:rPr>
                <w:i/>
                <w:iCs/>
                <w:sz w:val="18"/>
                <w:szCs w:val="18"/>
                <w:lang w:val="en-US"/>
              </w:rPr>
              <w:t>owners</w:t>
            </w:r>
            <w:r w:rsidR="00EA1119" w:rsidRPr="00EA1119">
              <w:rPr>
                <w:i/>
                <w:iCs/>
                <w:sz w:val="18"/>
                <w:szCs w:val="18"/>
                <w:lang w:val="en-US"/>
              </w:rPr>
              <w:t xml:space="preserve"> </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sz w:val="20"/>
                <w:szCs w:val="20"/>
                <w:lang w:val="uk-UA"/>
              </w:rPr>
            </w:pPr>
            <w:r w:rsidRPr="0072251B">
              <w:rPr>
                <w:sz w:val="20"/>
                <w:szCs w:val="20"/>
                <w:lang w:val="uk-UA"/>
              </w:rPr>
              <w:t>5 042,9</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sz w:val="20"/>
                <w:szCs w:val="20"/>
                <w:lang w:val="uk-UA"/>
              </w:rPr>
            </w:pPr>
            <w:r w:rsidRPr="0072251B">
              <w:rPr>
                <w:sz w:val="20"/>
                <w:szCs w:val="20"/>
                <w:lang w:val="uk-UA"/>
              </w:rPr>
              <w:t>6 002,7</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sz w:val="20"/>
                <w:szCs w:val="20"/>
                <w:lang w:val="uk-UA"/>
              </w:rPr>
            </w:pPr>
            <w:r w:rsidRPr="0072251B">
              <w:rPr>
                <w:sz w:val="20"/>
                <w:szCs w:val="20"/>
                <w:lang w:val="uk-UA"/>
              </w:rPr>
              <w:t>4 747,1</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sz w:val="20"/>
                <w:szCs w:val="20"/>
                <w:lang w:val="uk-UA"/>
              </w:rPr>
            </w:pPr>
            <w:r w:rsidRPr="0072251B">
              <w:rPr>
                <w:sz w:val="20"/>
                <w:szCs w:val="20"/>
                <w:lang w:val="uk-UA"/>
              </w:rPr>
              <w:t>5 671,6</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19,0%</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19,5%</w:t>
            </w:r>
          </w:p>
        </w:tc>
      </w:tr>
      <w:tr w:rsidR="00291C12" w:rsidRPr="0072251B" w:rsidTr="00291C12">
        <w:trPr>
          <w:trHeight w:val="141"/>
        </w:trPr>
        <w:tc>
          <w:tcPr>
            <w:tcW w:w="4156" w:type="dxa"/>
            <w:tcBorders>
              <w:top w:val="nil"/>
              <w:left w:val="single" w:sz="8" w:space="0" w:color="auto"/>
              <w:bottom w:val="single" w:sz="8" w:space="0" w:color="auto"/>
              <w:right w:val="single" w:sz="4" w:space="0" w:color="auto"/>
            </w:tcBorders>
            <w:vAlign w:val="bottom"/>
          </w:tcPr>
          <w:p w:rsidR="00291C12" w:rsidRPr="00EA1119" w:rsidRDefault="00EA1119">
            <w:pPr>
              <w:rPr>
                <w:sz w:val="18"/>
                <w:szCs w:val="18"/>
                <w:lang w:val="en-US"/>
              </w:rPr>
            </w:pPr>
            <w:r>
              <w:rPr>
                <w:sz w:val="18"/>
                <w:szCs w:val="18"/>
                <w:lang w:val="en-US"/>
              </w:rPr>
              <w:t>State compulsory insurance</w:t>
            </w:r>
          </w:p>
        </w:tc>
        <w:tc>
          <w:tcPr>
            <w:tcW w:w="986"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6E3D98">
            <w:pPr>
              <w:jc w:val="right"/>
              <w:rPr>
                <w:sz w:val="20"/>
                <w:szCs w:val="20"/>
                <w:lang w:val="uk-UA"/>
              </w:rPr>
            </w:pPr>
            <w:r w:rsidRPr="0072251B">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pPr>
              <w:jc w:val="right"/>
              <w:rPr>
                <w:sz w:val="20"/>
                <w:szCs w:val="20"/>
                <w:lang w:val="uk-UA"/>
              </w:rPr>
            </w:pPr>
            <w:r w:rsidRPr="0072251B">
              <w:rPr>
                <w:sz w:val="20"/>
                <w:szCs w:val="20"/>
                <w:lang w:val="uk-UA"/>
              </w:rPr>
              <w:t>0,0</w:t>
            </w:r>
          </w:p>
        </w:tc>
        <w:tc>
          <w:tcPr>
            <w:tcW w:w="993"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044A80">
            <w:pPr>
              <w:jc w:val="right"/>
              <w:rPr>
                <w:sz w:val="20"/>
                <w:szCs w:val="20"/>
                <w:lang w:val="uk-UA"/>
              </w:rPr>
            </w:pPr>
            <w:r w:rsidRPr="0072251B">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291C12" w:rsidRPr="0072251B" w:rsidRDefault="00291C12" w:rsidP="008E7D1A">
            <w:pPr>
              <w:jc w:val="right"/>
              <w:rPr>
                <w:sz w:val="20"/>
                <w:szCs w:val="20"/>
                <w:lang w:val="uk-UA"/>
              </w:rPr>
            </w:pPr>
            <w:r w:rsidRPr="0072251B">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0,0%</w:t>
            </w:r>
          </w:p>
        </w:tc>
        <w:tc>
          <w:tcPr>
            <w:tcW w:w="851" w:type="dxa"/>
            <w:tcBorders>
              <w:top w:val="single" w:sz="4" w:space="0" w:color="auto"/>
              <w:left w:val="single" w:sz="4" w:space="0" w:color="auto"/>
              <w:bottom w:val="single" w:sz="4" w:space="0" w:color="auto"/>
              <w:right w:val="single" w:sz="4" w:space="0" w:color="auto"/>
            </w:tcBorders>
            <w:vAlign w:val="bottom"/>
          </w:tcPr>
          <w:p w:rsidR="00291C12" w:rsidRPr="0072251B" w:rsidRDefault="00291C12" w:rsidP="008E7D1A">
            <w:pPr>
              <w:jc w:val="right"/>
              <w:rPr>
                <w:b/>
                <w:bCs/>
                <w:sz w:val="20"/>
                <w:szCs w:val="20"/>
                <w:lang w:val="uk-UA"/>
              </w:rPr>
            </w:pPr>
            <w:r w:rsidRPr="0072251B">
              <w:rPr>
                <w:b/>
                <w:bCs/>
                <w:sz w:val="20"/>
                <w:szCs w:val="20"/>
                <w:lang w:val="uk-UA"/>
              </w:rPr>
              <w:t>0,0%</w:t>
            </w:r>
          </w:p>
        </w:tc>
      </w:tr>
      <w:tr w:rsidR="00291C12" w:rsidRPr="0072251B" w:rsidTr="00291C12">
        <w:trPr>
          <w:trHeight w:val="418"/>
        </w:trPr>
        <w:tc>
          <w:tcPr>
            <w:tcW w:w="4156" w:type="dxa"/>
            <w:tcBorders>
              <w:top w:val="nil"/>
              <w:left w:val="single" w:sz="8" w:space="0" w:color="auto"/>
              <w:bottom w:val="single" w:sz="8" w:space="0" w:color="auto"/>
              <w:right w:val="single" w:sz="8" w:space="0" w:color="auto"/>
            </w:tcBorders>
            <w:shd w:val="pct12" w:color="CCFFFF" w:fill="CCFFCC"/>
            <w:vAlign w:val="bottom"/>
          </w:tcPr>
          <w:p w:rsidR="00291C12" w:rsidRPr="0072251B" w:rsidRDefault="000334F9">
            <w:pPr>
              <w:rPr>
                <w:b/>
                <w:bCs/>
                <w:sz w:val="18"/>
                <w:szCs w:val="18"/>
                <w:lang w:val="uk-UA"/>
              </w:rPr>
            </w:pPr>
            <w:r w:rsidRPr="000334F9">
              <w:rPr>
                <w:b/>
                <w:bCs/>
                <w:sz w:val="18"/>
                <w:szCs w:val="18"/>
                <w:lang w:val="uk-UA"/>
              </w:rPr>
              <w:t>TOTAL (all types of insurance)</w:t>
            </w:r>
          </w:p>
        </w:tc>
        <w:tc>
          <w:tcPr>
            <w:tcW w:w="986" w:type="dxa"/>
            <w:tcBorders>
              <w:top w:val="single" w:sz="4" w:space="0" w:color="auto"/>
              <w:left w:val="nil"/>
              <w:bottom w:val="single" w:sz="8" w:space="0" w:color="auto"/>
              <w:right w:val="single" w:sz="8" w:space="0" w:color="auto"/>
            </w:tcBorders>
            <w:shd w:val="clear" w:color="auto" w:fill="CCFFCC"/>
            <w:vAlign w:val="bottom"/>
          </w:tcPr>
          <w:p w:rsidR="00291C12" w:rsidRPr="0072251B" w:rsidRDefault="00291C12" w:rsidP="006E3D98">
            <w:pPr>
              <w:jc w:val="right"/>
              <w:rPr>
                <w:b/>
                <w:bCs/>
                <w:sz w:val="20"/>
                <w:szCs w:val="20"/>
                <w:lang w:val="uk-UA"/>
              </w:rPr>
            </w:pPr>
            <w:r w:rsidRPr="0072251B">
              <w:rPr>
                <w:b/>
                <w:bCs/>
                <w:sz w:val="20"/>
                <w:szCs w:val="20"/>
                <w:lang w:val="uk-UA"/>
              </w:rPr>
              <w:t>43 431,8</w:t>
            </w:r>
          </w:p>
        </w:tc>
        <w:tc>
          <w:tcPr>
            <w:tcW w:w="992" w:type="dxa"/>
            <w:tcBorders>
              <w:top w:val="single" w:sz="4" w:space="0" w:color="auto"/>
              <w:left w:val="nil"/>
              <w:bottom w:val="single" w:sz="8" w:space="0" w:color="auto"/>
              <w:right w:val="single" w:sz="8" w:space="0" w:color="auto"/>
            </w:tcBorders>
            <w:shd w:val="clear" w:color="auto" w:fill="CCFFCC"/>
            <w:vAlign w:val="bottom"/>
          </w:tcPr>
          <w:p w:rsidR="00291C12" w:rsidRPr="0072251B" w:rsidRDefault="00291C12">
            <w:pPr>
              <w:jc w:val="right"/>
              <w:rPr>
                <w:b/>
                <w:bCs/>
                <w:sz w:val="20"/>
                <w:szCs w:val="20"/>
                <w:lang w:val="uk-UA"/>
              </w:rPr>
            </w:pPr>
            <w:r w:rsidRPr="0072251B">
              <w:rPr>
                <w:b/>
                <w:bCs/>
                <w:sz w:val="20"/>
                <w:szCs w:val="20"/>
                <w:lang w:val="uk-UA"/>
              </w:rPr>
              <w:t>49 367,5</w:t>
            </w:r>
          </w:p>
        </w:tc>
        <w:tc>
          <w:tcPr>
            <w:tcW w:w="993" w:type="dxa"/>
            <w:tcBorders>
              <w:top w:val="single" w:sz="4" w:space="0" w:color="auto"/>
              <w:left w:val="nil"/>
              <w:bottom w:val="single" w:sz="8" w:space="0" w:color="auto"/>
              <w:right w:val="single" w:sz="8" w:space="0" w:color="auto"/>
            </w:tcBorders>
            <w:shd w:val="pct12" w:color="CCFFFF" w:fill="CCFFCC"/>
            <w:vAlign w:val="bottom"/>
          </w:tcPr>
          <w:p w:rsidR="00291C12" w:rsidRPr="0072251B" w:rsidRDefault="00291C12" w:rsidP="00044A80">
            <w:pPr>
              <w:jc w:val="right"/>
              <w:rPr>
                <w:b/>
                <w:bCs/>
                <w:sz w:val="20"/>
                <w:szCs w:val="20"/>
                <w:lang w:val="uk-UA"/>
              </w:rPr>
            </w:pPr>
            <w:r w:rsidRPr="0072251B">
              <w:rPr>
                <w:b/>
                <w:bCs/>
                <w:sz w:val="20"/>
                <w:szCs w:val="20"/>
                <w:lang w:val="uk-UA"/>
              </w:rPr>
              <w:t>28 494,4</w:t>
            </w:r>
          </w:p>
        </w:tc>
        <w:tc>
          <w:tcPr>
            <w:tcW w:w="992" w:type="dxa"/>
            <w:tcBorders>
              <w:top w:val="single" w:sz="4" w:space="0" w:color="auto"/>
              <w:left w:val="nil"/>
              <w:bottom w:val="single" w:sz="8" w:space="0" w:color="auto"/>
              <w:right w:val="single" w:sz="8" w:space="0" w:color="auto"/>
            </w:tcBorders>
            <w:shd w:val="pct12" w:color="CCFFFF" w:fill="CCFFCC"/>
            <w:vAlign w:val="bottom"/>
          </w:tcPr>
          <w:p w:rsidR="00291C12" w:rsidRPr="0072251B" w:rsidRDefault="00291C12" w:rsidP="008E7D1A">
            <w:pPr>
              <w:jc w:val="right"/>
              <w:rPr>
                <w:b/>
                <w:bCs/>
                <w:sz w:val="20"/>
                <w:szCs w:val="20"/>
                <w:lang w:val="uk-UA"/>
              </w:rPr>
            </w:pPr>
            <w:r w:rsidRPr="0072251B">
              <w:rPr>
                <w:b/>
                <w:bCs/>
                <w:sz w:val="20"/>
                <w:szCs w:val="20"/>
                <w:lang w:val="uk-UA"/>
              </w:rPr>
              <w:t>34 424,3</w:t>
            </w:r>
          </w:p>
        </w:tc>
        <w:tc>
          <w:tcPr>
            <w:tcW w:w="992" w:type="dxa"/>
            <w:tcBorders>
              <w:top w:val="single" w:sz="4" w:space="0" w:color="auto"/>
              <w:left w:val="nil"/>
              <w:bottom w:val="single" w:sz="8" w:space="0" w:color="auto"/>
              <w:right w:val="single" w:sz="8" w:space="0" w:color="auto"/>
            </w:tcBorders>
            <w:shd w:val="clear" w:color="auto" w:fill="CCFFCC"/>
            <w:vAlign w:val="bottom"/>
          </w:tcPr>
          <w:p w:rsidR="00291C12" w:rsidRPr="0072251B" w:rsidRDefault="00291C12" w:rsidP="008E7D1A">
            <w:pPr>
              <w:jc w:val="right"/>
              <w:rPr>
                <w:b/>
                <w:bCs/>
                <w:sz w:val="20"/>
                <w:szCs w:val="20"/>
                <w:lang w:val="uk-UA"/>
              </w:rPr>
            </w:pPr>
            <w:r w:rsidRPr="0072251B">
              <w:rPr>
                <w:b/>
                <w:bCs/>
                <w:sz w:val="20"/>
                <w:szCs w:val="20"/>
                <w:lang w:val="uk-UA"/>
              </w:rPr>
              <w:t>13,7%</w:t>
            </w:r>
          </w:p>
        </w:tc>
        <w:tc>
          <w:tcPr>
            <w:tcW w:w="851" w:type="dxa"/>
            <w:tcBorders>
              <w:top w:val="single" w:sz="4" w:space="0" w:color="auto"/>
              <w:left w:val="nil"/>
              <w:bottom w:val="single" w:sz="8" w:space="0" w:color="auto"/>
              <w:right w:val="single" w:sz="8" w:space="0" w:color="auto"/>
            </w:tcBorders>
            <w:shd w:val="clear" w:color="auto" w:fill="CCFFCC"/>
            <w:vAlign w:val="bottom"/>
          </w:tcPr>
          <w:p w:rsidR="00291C12" w:rsidRPr="0072251B" w:rsidRDefault="00291C12" w:rsidP="008E7D1A">
            <w:pPr>
              <w:jc w:val="right"/>
              <w:rPr>
                <w:b/>
                <w:bCs/>
                <w:sz w:val="20"/>
                <w:szCs w:val="20"/>
                <w:lang w:val="uk-UA"/>
              </w:rPr>
            </w:pPr>
            <w:r w:rsidRPr="0072251B">
              <w:rPr>
                <w:b/>
                <w:bCs/>
                <w:sz w:val="20"/>
                <w:szCs w:val="20"/>
                <w:lang w:val="uk-UA"/>
              </w:rPr>
              <w:t>20,8%</w:t>
            </w:r>
          </w:p>
        </w:tc>
      </w:tr>
    </w:tbl>
    <w:p w:rsidR="000334F9" w:rsidRDefault="000334F9" w:rsidP="000334F9">
      <w:pPr>
        <w:jc w:val="both"/>
        <w:rPr>
          <w:sz w:val="28"/>
          <w:szCs w:val="28"/>
          <w:lang w:val="en-US"/>
        </w:rPr>
      </w:pPr>
    </w:p>
    <w:p w:rsidR="000334F9" w:rsidRPr="000334F9" w:rsidRDefault="000334F9" w:rsidP="000334F9">
      <w:pPr>
        <w:jc w:val="both"/>
        <w:rPr>
          <w:sz w:val="28"/>
          <w:szCs w:val="28"/>
          <w:lang w:val="en-US"/>
        </w:rPr>
      </w:pPr>
      <w:r w:rsidRPr="000334F9">
        <w:rPr>
          <w:sz w:val="28"/>
          <w:szCs w:val="28"/>
          <w:lang w:val="en-US"/>
        </w:rPr>
        <w:t>The structure of gross and net insurance premiums for 2017-2018 is presented in Table 5.</w:t>
      </w:r>
    </w:p>
    <w:p w:rsidR="000334F9" w:rsidRDefault="000334F9" w:rsidP="000334F9">
      <w:pPr>
        <w:jc w:val="both"/>
        <w:rPr>
          <w:sz w:val="28"/>
          <w:szCs w:val="28"/>
          <w:lang w:val="en-US"/>
        </w:rPr>
      </w:pPr>
    </w:p>
    <w:p w:rsidR="000334F9" w:rsidRPr="000334F9" w:rsidRDefault="000334F9" w:rsidP="000334F9">
      <w:pPr>
        <w:jc w:val="both"/>
        <w:rPr>
          <w:sz w:val="28"/>
          <w:szCs w:val="28"/>
          <w:lang w:val="en-US"/>
        </w:rPr>
      </w:pPr>
      <w:r>
        <w:rPr>
          <w:sz w:val="28"/>
          <w:szCs w:val="28"/>
          <w:lang w:val="en-US"/>
        </w:rPr>
        <w:t xml:space="preserve">                                                                                                                      </w:t>
      </w:r>
      <w:r w:rsidR="00F700F2">
        <w:rPr>
          <w:sz w:val="28"/>
          <w:szCs w:val="28"/>
          <w:lang w:val="en-US"/>
        </w:rPr>
        <w:t>Table 5</w:t>
      </w:r>
    </w:p>
    <w:p w:rsidR="00291C12" w:rsidRPr="000334F9" w:rsidRDefault="000334F9" w:rsidP="000334F9">
      <w:pPr>
        <w:jc w:val="both"/>
        <w:rPr>
          <w:b/>
          <w:sz w:val="28"/>
          <w:szCs w:val="28"/>
          <w:lang w:val="en-US"/>
        </w:rPr>
      </w:pPr>
      <w:r w:rsidRPr="000334F9">
        <w:rPr>
          <w:b/>
          <w:sz w:val="28"/>
          <w:szCs w:val="28"/>
          <w:lang w:val="en-US"/>
        </w:rPr>
        <w:t>The structure of gross and net insurance premiums for 2017-2018 years</w:t>
      </w:r>
    </w:p>
    <w:p w:rsidR="000334F9" w:rsidRPr="000334F9" w:rsidRDefault="000334F9" w:rsidP="00291C12">
      <w:pPr>
        <w:jc w:val="both"/>
        <w:rPr>
          <w:sz w:val="28"/>
          <w:szCs w:val="28"/>
          <w:lang w:val="en-US"/>
        </w:rPr>
      </w:pPr>
    </w:p>
    <w:tbl>
      <w:tblPr>
        <w:tblW w:w="97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1080"/>
        <w:gridCol w:w="1080"/>
        <w:gridCol w:w="1107"/>
        <w:gridCol w:w="1080"/>
        <w:gridCol w:w="1053"/>
        <w:gridCol w:w="1074"/>
        <w:gridCol w:w="20"/>
      </w:tblGrid>
      <w:tr w:rsidR="00132B0E" w:rsidRPr="000334F9" w:rsidTr="004552B4">
        <w:trPr>
          <w:gridAfter w:val="1"/>
          <w:wAfter w:w="20" w:type="dxa"/>
          <w:trHeight w:val="20"/>
        </w:trPr>
        <w:tc>
          <w:tcPr>
            <w:tcW w:w="3245" w:type="dxa"/>
            <w:vMerge w:val="restart"/>
            <w:noWrap/>
            <w:vAlign w:val="center"/>
          </w:tcPr>
          <w:p w:rsidR="00132B0E" w:rsidRPr="000334F9" w:rsidRDefault="00132B0E" w:rsidP="0094599B">
            <w:pPr>
              <w:rPr>
                <w:b/>
                <w:color w:val="000000"/>
                <w:lang w:val="en-US"/>
              </w:rPr>
            </w:pPr>
            <w:r w:rsidRPr="0072251B">
              <w:rPr>
                <w:color w:val="000000"/>
                <w:lang w:val="uk-UA"/>
              </w:rPr>
              <w:t> </w:t>
            </w:r>
            <w:r w:rsidR="000334F9">
              <w:rPr>
                <w:b/>
                <w:lang w:val="en-US"/>
              </w:rPr>
              <w:t>Types of insurance</w:t>
            </w:r>
          </w:p>
        </w:tc>
        <w:tc>
          <w:tcPr>
            <w:tcW w:w="4347" w:type="dxa"/>
            <w:gridSpan w:val="4"/>
            <w:vAlign w:val="center"/>
          </w:tcPr>
          <w:p w:rsidR="00132B0E" w:rsidRPr="0072251B" w:rsidRDefault="000334F9" w:rsidP="007C5EF4">
            <w:pPr>
              <w:jc w:val="center"/>
              <w:rPr>
                <w:b/>
                <w:color w:val="000000"/>
                <w:lang w:val="uk-UA"/>
              </w:rPr>
            </w:pPr>
            <w:r w:rsidRPr="000334F9">
              <w:rPr>
                <w:b/>
                <w:color w:val="000000"/>
                <w:lang w:val="uk-UA"/>
              </w:rPr>
              <w:t>Insurance premiums</w:t>
            </w:r>
            <w:r>
              <w:rPr>
                <w:b/>
                <w:color w:val="000000"/>
                <w:lang w:val="en-US"/>
              </w:rPr>
              <w:t>,</w:t>
            </w:r>
            <w:r w:rsidRPr="000334F9">
              <w:rPr>
                <w:b/>
                <w:color w:val="000000"/>
                <w:lang w:val="uk-UA"/>
              </w:rPr>
              <w:t xml:space="preserve"> million UAH</w:t>
            </w:r>
          </w:p>
        </w:tc>
        <w:tc>
          <w:tcPr>
            <w:tcW w:w="2127" w:type="dxa"/>
            <w:gridSpan w:val="2"/>
            <w:noWrap/>
            <w:vAlign w:val="center"/>
          </w:tcPr>
          <w:p w:rsidR="00132B0E" w:rsidRPr="000334F9" w:rsidRDefault="000334F9" w:rsidP="007C5EF4">
            <w:pPr>
              <w:jc w:val="center"/>
              <w:rPr>
                <w:b/>
                <w:color w:val="000000"/>
                <w:lang w:val="uk-UA"/>
              </w:rPr>
            </w:pPr>
            <w:r w:rsidRPr="000334F9">
              <w:rPr>
                <w:b/>
                <w:color w:val="000000"/>
                <w:sz w:val="22"/>
                <w:lang w:val="uk-UA"/>
              </w:rPr>
              <w:t>The growth rates of insurance premiums</w:t>
            </w:r>
            <w:r w:rsidR="00132B0E" w:rsidRPr="000334F9">
              <w:rPr>
                <w:b/>
                <w:color w:val="000000"/>
                <w:sz w:val="22"/>
                <w:lang w:val="uk-UA"/>
              </w:rPr>
              <w:t xml:space="preserve">, </w:t>
            </w:r>
          </w:p>
          <w:p w:rsidR="00132B0E" w:rsidRPr="0072251B" w:rsidRDefault="00132B0E" w:rsidP="007C5EF4">
            <w:pPr>
              <w:jc w:val="center"/>
              <w:rPr>
                <w:b/>
                <w:color w:val="000000"/>
                <w:lang w:val="uk-UA"/>
              </w:rPr>
            </w:pPr>
            <w:r w:rsidRPr="000334F9">
              <w:rPr>
                <w:b/>
                <w:color w:val="000000"/>
                <w:sz w:val="22"/>
                <w:lang w:val="uk-UA"/>
              </w:rPr>
              <w:t>%</w:t>
            </w:r>
          </w:p>
        </w:tc>
      </w:tr>
      <w:tr w:rsidR="00132B0E" w:rsidRPr="0072251B" w:rsidTr="004552B4">
        <w:trPr>
          <w:trHeight w:val="20"/>
        </w:trPr>
        <w:tc>
          <w:tcPr>
            <w:tcW w:w="3245" w:type="dxa"/>
            <w:vMerge/>
            <w:noWrap/>
            <w:vAlign w:val="center"/>
          </w:tcPr>
          <w:p w:rsidR="00132B0E" w:rsidRPr="0072251B" w:rsidRDefault="00132B0E" w:rsidP="0094599B">
            <w:pPr>
              <w:rPr>
                <w:color w:val="000000"/>
                <w:lang w:val="uk-UA"/>
              </w:rPr>
            </w:pPr>
          </w:p>
        </w:tc>
        <w:tc>
          <w:tcPr>
            <w:tcW w:w="1080" w:type="dxa"/>
            <w:vAlign w:val="center"/>
          </w:tcPr>
          <w:p w:rsidR="00132B0E" w:rsidRPr="000334F9" w:rsidRDefault="000334F9" w:rsidP="007C5EF4">
            <w:pPr>
              <w:jc w:val="center"/>
              <w:rPr>
                <w:b/>
                <w:color w:val="000000"/>
                <w:lang w:val="en-US"/>
              </w:rPr>
            </w:pPr>
            <w:r>
              <w:rPr>
                <w:b/>
                <w:color w:val="000000"/>
                <w:sz w:val="22"/>
                <w:lang w:val="en-US"/>
              </w:rPr>
              <w:t>Gross</w:t>
            </w:r>
          </w:p>
        </w:tc>
        <w:tc>
          <w:tcPr>
            <w:tcW w:w="1080" w:type="dxa"/>
            <w:noWrap/>
            <w:vAlign w:val="center"/>
          </w:tcPr>
          <w:p w:rsidR="00132B0E" w:rsidRPr="000334F9" w:rsidRDefault="000334F9" w:rsidP="007C5EF4">
            <w:pPr>
              <w:jc w:val="center"/>
              <w:rPr>
                <w:b/>
                <w:color w:val="000000"/>
                <w:lang w:val="en-US"/>
              </w:rPr>
            </w:pPr>
            <w:r>
              <w:rPr>
                <w:b/>
                <w:color w:val="000000"/>
                <w:sz w:val="22"/>
                <w:lang w:val="en-US"/>
              </w:rPr>
              <w:t>Net</w:t>
            </w:r>
          </w:p>
        </w:tc>
        <w:tc>
          <w:tcPr>
            <w:tcW w:w="1107" w:type="dxa"/>
            <w:vAlign w:val="center"/>
          </w:tcPr>
          <w:p w:rsidR="00132B0E" w:rsidRPr="000334F9" w:rsidRDefault="000334F9" w:rsidP="007C5EF4">
            <w:pPr>
              <w:jc w:val="center"/>
              <w:rPr>
                <w:b/>
                <w:color w:val="000000"/>
                <w:lang w:val="en-US"/>
              </w:rPr>
            </w:pPr>
            <w:r>
              <w:rPr>
                <w:b/>
                <w:color w:val="000000"/>
                <w:sz w:val="22"/>
                <w:lang w:val="en-US"/>
              </w:rPr>
              <w:t>Gross</w:t>
            </w:r>
          </w:p>
        </w:tc>
        <w:tc>
          <w:tcPr>
            <w:tcW w:w="1080" w:type="dxa"/>
            <w:noWrap/>
            <w:vAlign w:val="center"/>
          </w:tcPr>
          <w:p w:rsidR="00132B0E" w:rsidRPr="000334F9" w:rsidRDefault="000334F9" w:rsidP="007C5EF4">
            <w:pPr>
              <w:jc w:val="center"/>
              <w:rPr>
                <w:b/>
                <w:color w:val="000000"/>
                <w:lang w:val="en-US"/>
              </w:rPr>
            </w:pPr>
            <w:r>
              <w:rPr>
                <w:b/>
                <w:color w:val="000000"/>
                <w:sz w:val="22"/>
                <w:lang w:val="en-US"/>
              </w:rPr>
              <w:t>Net</w:t>
            </w:r>
          </w:p>
        </w:tc>
        <w:tc>
          <w:tcPr>
            <w:tcW w:w="1053" w:type="dxa"/>
            <w:noWrap/>
            <w:vAlign w:val="center"/>
          </w:tcPr>
          <w:p w:rsidR="00132B0E" w:rsidRPr="000334F9" w:rsidRDefault="000334F9" w:rsidP="007C5EF4">
            <w:pPr>
              <w:jc w:val="center"/>
              <w:rPr>
                <w:b/>
                <w:color w:val="000000"/>
                <w:lang w:val="en-US"/>
              </w:rPr>
            </w:pPr>
            <w:r>
              <w:rPr>
                <w:b/>
                <w:color w:val="000000"/>
                <w:sz w:val="22"/>
                <w:lang w:val="en-US"/>
              </w:rPr>
              <w:t>Gross premiums</w:t>
            </w:r>
          </w:p>
        </w:tc>
        <w:tc>
          <w:tcPr>
            <w:tcW w:w="1094" w:type="dxa"/>
            <w:gridSpan w:val="2"/>
            <w:vAlign w:val="center"/>
          </w:tcPr>
          <w:p w:rsidR="00132B0E" w:rsidRPr="000334F9" w:rsidRDefault="000334F9" w:rsidP="007C5EF4">
            <w:pPr>
              <w:jc w:val="center"/>
              <w:rPr>
                <w:b/>
                <w:color w:val="000000"/>
                <w:lang w:val="en-US"/>
              </w:rPr>
            </w:pPr>
            <w:r>
              <w:rPr>
                <w:b/>
                <w:color w:val="000000"/>
                <w:sz w:val="22"/>
                <w:lang w:val="en-US"/>
              </w:rPr>
              <w:t>Net premiums</w:t>
            </w:r>
          </w:p>
        </w:tc>
      </w:tr>
      <w:tr w:rsidR="00132B0E" w:rsidRPr="0072251B" w:rsidTr="004552B4">
        <w:trPr>
          <w:gridAfter w:val="1"/>
          <w:wAfter w:w="20" w:type="dxa"/>
          <w:trHeight w:val="20"/>
        </w:trPr>
        <w:tc>
          <w:tcPr>
            <w:tcW w:w="3245" w:type="dxa"/>
            <w:vMerge/>
            <w:noWrap/>
            <w:vAlign w:val="center"/>
          </w:tcPr>
          <w:p w:rsidR="00132B0E" w:rsidRPr="0072251B" w:rsidRDefault="00132B0E" w:rsidP="0094599B">
            <w:pPr>
              <w:rPr>
                <w:color w:val="000000"/>
                <w:lang w:val="uk-UA"/>
              </w:rPr>
            </w:pPr>
          </w:p>
        </w:tc>
        <w:tc>
          <w:tcPr>
            <w:tcW w:w="2160" w:type="dxa"/>
            <w:gridSpan w:val="2"/>
            <w:vAlign w:val="center"/>
          </w:tcPr>
          <w:p w:rsidR="00132B0E" w:rsidRPr="0072251B" w:rsidRDefault="00132B0E" w:rsidP="007F73C9">
            <w:pPr>
              <w:jc w:val="center"/>
              <w:rPr>
                <w:b/>
                <w:color w:val="000000"/>
                <w:lang w:val="uk-UA"/>
              </w:rPr>
            </w:pPr>
            <w:r w:rsidRPr="0072251B">
              <w:rPr>
                <w:b/>
                <w:color w:val="000000"/>
                <w:lang w:val="uk-UA"/>
              </w:rPr>
              <w:t>2017</w:t>
            </w:r>
          </w:p>
        </w:tc>
        <w:tc>
          <w:tcPr>
            <w:tcW w:w="2187" w:type="dxa"/>
            <w:gridSpan w:val="2"/>
            <w:vAlign w:val="center"/>
          </w:tcPr>
          <w:p w:rsidR="00132B0E" w:rsidRPr="0072251B" w:rsidRDefault="00132B0E" w:rsidP="007C5EF4">
            <w:pPr>
              <w:jc w:val="center"/>
              <w:rPr>
                <w:b/>
                <w:color w:val="000000"/>
                <w:lang w:val="uk-UA"/>
              </w:rPr>
            </w:pPr>
            <w:r w:rsidRPr="0072251B">
              <w:rPr>
                <w:b/>
                <w:color w:val="000000"/>
                <w:lang w:val="uk-UA"/>
              </w:rPr>
              <w:t>2018</w:t>
            </w:r>
          </w:p>
        </w:tc>
        <w:tc>
          <w:tcPr>
            <w:tcW w:w="2127" w:type="dxa"/>
            <w:gridSpan w:val="2"/>
            <w:noWrap/>
            <w:vAlign w:val="center"/>
          </w:tcPr>
          <w:p w:rsidR="00132B0E" w:rsidRPr="0072251B" w:rsidRDefault="00132B0E" w:rsidP="00C20E3D">
            <w:pPr>
              <w:jc w:val="center"/>
              <w:rPr>
                <w:b/>
                <w:color w:val="000000"/>
                <w:lang w:val="uk-UA"/>
              </w:rPr>
            </w:pPr>
            <w:r w:rsidRPr="0072251B">
              <w:rPr>
                <w:b/>
                <w:bCs/>
                <w:lang w:val="uk-UA"/>
              </w:rPr>
              <w:t>2018/2017</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 xml:space="preserve">Auto Insurance (CNС insurance, </w:t>
            </w:r>
            <w:r w:rsidR="002F2894">
              <w:rPr>
                <w:lang w:val="en-US"/>
              </w:rPr>
              <w:t>C</w:t>
            </w:r>
            <w:r w:rsidRPr="000334F9">
              <w:rPr>
                <w:lang w:val="uk-UA"/>
              </w:rPr>
              <w:t>MTPL, Green Card)</w:t>
            </w:r>
          </w:p>
        </w:tc>
        <w:tc>
          <w:tcPr>
            <w:tcW w:w="1080" w:type="dxa"/>
            <w:vAlign w:val="bottom"/>
          </w:tcPr>
          <w:p w:rsidR="00132B0E" w:rsidRPr="0072251B" w:rsidRDefault="00132B0E">
            <w:pPr>
              <w:jc w:val="center"/>
              <w:rPr>
                <w:color w:val="000000"/>
                <w:lang w:val="uk-UA"/>
              </w:rPr>
            </w:pPr>
            <w:r w:rsidRPr="0072251B">
              <w:rPr>
                <w:color w:val="000000"/>
                <w:lang w:val="uk-UA"/>
              </w:rPr>
              <w:t>10 613,0</w:t>
            </w:r>
          </w:p>
        </w:tc>
        <w:tc>
          <w:tcPr>
            <w:tcW w:w="1080" w:type="dxa"/>
            <w:noWrap/>
            <w:vAlign w:val="bottom"/>
          </w:tcPr>
          <w:p w:rsidR="00132B0E" w:rsidRPr="0072251B" w:rsidRDefault="00132B0E">
            <w:pPr>
              <w:jc w:val="center"/>
              <w:rPr>
                <w:color w:val="000000"/>
                <w:lang w:val="uk-UA"/>
              </w:rPr>
            </w:pPr>
            <w:r w:rsidRPr="0072251B">
              <w:rPr>
                <w:color w:val="000000"/>
                <w:lang w:val="uk-UA"/>
              </w:rPr>
              <w:t>9 858,1</w:t>
            </w:r>
          </w:p>
        </w:tc>
        <w:tc>
          <w:tcPr>
            <w:tcW w:w="1107" w:type="dxa"/>
            <w:vAlign w:val="bottom"/>
          </w:tcPr>
          <w:p w:rsidR="00132B0E" w:rsidRPr="0072251B" w:rsidRDefault="00132B0E">
            <w:pPr>
              <w:jc w:val="center"/>
              <w:rPr>
                <w:color w:val="000000"/>
                <w:lang w:val="uk-UA"/>
              </w:rPr>
            </w:pPr>
            <w:r w:rsidRPr="0072251B">
              <w:rPr>
                <w:color w:val="000000"/>
                <w:lang w:val="uk-UA"/>
              </w:rPr>
              <w:t>12 975,1</w:t>
            </w:r>
          </w:p>
        </w:tc>
        <w:tc>
          <w:tcPr>
            <w:tcW w:w="1080" w:type="dxa"/>
            <w:noWrap/>
            <w:vAlign w:val="bottom"/>
          </w:tcPr>
          <w:p w:rsidR="00132B0E" w:rsidRPr="0072251B" w:rsidRDefault="00132B0E">
            <w:pPr>
              <w:jc w:val="center"/>
              <w:rPr>
                <w:color w:val="000000"/>
                <w:lang w:val="uk-UA"/>
              </w:rPr>
            </w:pPr>
            <w:r w:rsidRPr="0072251B">
              <w:rPr>
                <w:color w:val="000000"/>
                <w:lang w:val="uk-UA"/>
              </w:rPr>
              <w:t>11 720,7</w:t>
            </w:r>
          </w:p>
        </w:tc>
        <w:tc>
          <w:tcPr>
            <w:tcW w:w="1053" w:type="dxa"/>
            <w:noWrap/>
            <w:vAlign w:val="bottom"/>
          </w:tcPr>
          <w:p w:rsidR="00132B0E" w:rsidRPr="0072251B" w:rsidRDefault="00132B0E">
            <w:pPr>
              <w:jc w:val="center"/>
              <w:rPr>
                <w:color w:val="000000"/>
                <w:lang w:val="uk-UA"/>
              </w:rPr>
            </w:pPr>
            <w:r w:rsidRPr="0072251B">
              <w:rPr>
                <w:color w:val="000000"/>
                <w:lang w:val="uk-UA"/>
              </w:rPr>
              <w:t>22,3</w:t>
            </w:r>
          </w:p>
        </w:tc>
        <w:tc>
          <w:tcPr>
            <w:tcW w:w="1074" w:type="dxa"/>
            <w:vAlign w:val="bottom"/>
          </w:tcPr>
          <w:p w:rsidR="00132B0E" w:rsidRPr="0072251B" w:rsidRDefault="00132B0E">
            <w:pPr>
              <w:jc w:val="center"/>
              <w:rPr>
                <w:lang w:val="uk-UA"/>
              </w:rPr>
            </w:pPr>
            <w:r w:rsidRPr="0072251B">
              <w:rPr>
                <w:lang w:val="uk-UA"/>
              </w:rPr>
              <w:t>18,9</w:t>
            </w:r>
          </w:p>
        </w:tc>
      </w:tr>
      <w:tr w:rsidR="00132B0E" w:rsidRPr="0072251B" w:rsidTr="004552B4">
        <w:trPr>
          <w:gridAfter w:val="1"/>
          <w:wAfter w:w="20" w:type="dxa"/>
          <w:trHeight w:val="20"/>
        </w:trPr>
        <w:tc>
          <w:tcPr>
            <w:tcW w:w="3245" w:type="dxa"/>
            <w:vAlign w:val="center"/>
          </w:tcPr>
          <w:p w:rsidR="00132B0E" w:rsidRPr="000334F9" w:rsidRDefault="000334F9">
            <w:pPr>
              <w:rPr>
                <w:lang w:val="en-US"/>
              </w:rPr>
            </w:pPr>
            <w:r>
              <w:rPr>
                <w:lang w:val="en-US"/>
              </w:rPr>
              <w:t>Life insurance</w:t>
            </w:r>
          </w:p>
        </w:tc>
        <w:tc>
          <w:tcPr>
            <w:tcW w:w="1080" w:type="dxa"/>
            <w:vAlign w:val="bottom"/>
          </w:tcPr>
          <w:p w:rsidR="00132B0E" w:rsidRPr="0072251B" w:rsidRDefault="00132B0E">
            <w:pPr>
              <w:jc w:val="center"/>
              <w:rPr>
                <w:color w:val="000000"/>
                <w:lang w:val="uk-UA"/>
              </w:rPr>
            </w:pPr>
            <w:r w:rsidRPr="0072251B">
              <w:rPr>
                <w:color w:val="000000"/>
                <w:lang w:val="uk-UA"/>
              </w:rPr>
              <w:t>2 913,7</w:t>
            </w:r>
          </w:p>
        </w:tc>
        <w:tc>
          <w:tcPr>
            <w:tcW w:w="1080" w:type="dxa"/>
            <w:noWrap/>
            <w:vAlign w:val="bottom"/>
          </w:tcPr>
          <w:p w:rsidR="00132B0E" w:rsidRPr="0072251B" w:rsidRDefault="00132B0E">
            <w:pPr>
              <w:jc w:val="center"/>
              <w:rPr>
                <w:color w:val="000000"/>
                <w:lang w:val="uk-UA"/>
              </w:rPr>
            </w:pPr>
            <w:r w:rsidRPr="0072251B">
              <w:rPr>
                <w:color w:val="000000"/>
                <w:lang w:val="uk-UA"/>
              </w:rPr>
              <w:t>2 913,7</w:t>
            </w:r>
          </w:p>
        </w:tc>
        <w:tc>
          <w:tcPr>
            <w:tcW w:w="1107" w:type="dxa"/>
            <w:vAlign w:val="bottom"/>
          </w:tcPr>
          <w:p w:rsidR="00132B0E" w:rsidRPr="0072251B" w:rsidRDefault="00132B0E">
            <w:pPr>
              <w:jc w:val="center"/>
              <w:rPr>
                <w:color w:val="000000"/>
                <w:lang w:val="uk-UA"/>
              </w:rPr>
            </w:pPr>
            <w:r w:rsidRPr="0072251B">
              <w:rPr>
                <w:color w:val="000000"/>
                <w:lang w:val="uk-UA"/>
              </w:rPr>
              <w:t>3 906,1</w:t>
            </w:r>
          </w:p>
        </w:tc>
        <w:tc>
          <w:tcPr>
            <w:tcW w:w="1080" w:type="dxa"/>
            <w:noWrap/>
            <w:vAlign w:val="bottom"/>
          </w:tcPr>
          <w:p w:rsidR="00132B0E" w:rsidRPr="0072251B" w:rsidRDefault="00132B0E">
            <w:pPr>
              <w:jc w:val="center"/>
              <w:rPr>
                <w:color w:val="000000"/>
                <w:lang w:val="uk-UA"/>
              </w:rPr>
            </w:pPr>
            <w:r w:rsidRPr="0072251B">
              <w:rPr>
                <w:color w:val="000000"/>
                <w:lang w:val="uk-UA"/>
              </w:rPr>
              <w:t>3 906,1</w:t>
            </w:r>
          </w:p>
        </w:tc>
        <w:tc>
          <w:tcPr>
            <w:tcW w:w="1053" w:type="dxa"/>
            <w:noWrap/>
            <w:vAlign w:val="bottom"/>
          </w:tcPr>
          <w:p w:rsidR="00132B0E" w:rsidRPr="0072251B" w:rsidRDefault="00132B0E">
            <w:pPr>
              <w:jc w:val="center"/>
              <w:rPr>
                <w:color w:val="000000"/>
                <w:lang w:val="uk-UA"/>
              </w:rPr>
            </w:pPr>
            <w:r w:rsidRPr="0072251B">
              <w:rPr>
                <w:color w:val="000000"/>
                <w:lang w:val="uk-UA"/>
              </w:rPr>
              <w:t>34,1</w:t>
            </w:r>
          </w:p>
        </w:tc>
        <w:tc>
          <w:tcPr>
            <w:tcW w:w="1074" w:type="dxa"/>
            <w:vAlign w:val="bottom"/>
          </w:tcPr>
          <w:p w:rsidR="00132B0E" w:rsidRPr="0072251B" w:rsidRDefault="00132B0E">
            <w:pPr>
              <w:jc w:val="center"/>
              <w:rPr>
                <w:lang w:val="uk-UA"/>
              </w:rPr>
            </w:pPr>
            <w:r w:rsidRPr="0072251B">
              <w:rPr>
                <w:lang w:val="uk-UA"/>
              </w:rPr>
              <w:t>34,1</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Medical insurance (continuous health insurance)</w:t>
            </w:r>
          </w:p>
        </w:tc>
        <w:tc>
          <w:tcPr>
            <w:tcW w:w="1080" w:type="dxa"/>
            <w:vAlign w:val="bottom"/>
          </w:tcPr>
          <w:p w:rsidR="00132B0E" w:rsidRPr="0072251B" w:rsidRDefault="00132B0E">
            <w:pPr>
              <w:jc w:val="center"/>
              <w:rPr>
                <w:color w:val="000000"/>
                <w:lang w:val="uk-UA"/>
              </w:rPr>
            </w:pPr>
            <w:r w:rsidRPr="0072251B">
              <w:rPr>
                <w:color w:val="000000"/>
                <w:lang w:val="uk-UA"/>
              </w:rPr>
              <w:t>2 881,3</w:t>
            </w:r>
          </w:p>
        </w:tc>
        <w:tc>
          <w:tcPr>
            <w:tcW w:w="1080" w:type="dxa"/>
            <w:noWrap/>
            <w:vAlign w:val="bottom"/>
          </w:tcPr>
          <w:p w:rsidR="00132B0E" w:rsidRPr="0072251B" w:rsidRDefault="00132B0E">
            <w:pPr>
              <w:jc w:val="center"/>
              <w:rPr>
                <w:color w:val="000000"/>
                <w:lang w:val="uk-UA"/>
              </w:rPr>
            </w:pPr>
            <w:r w:rsidRPr="0072251B">
              <w:rPr>
                <w:color w:val="000000"/>
                <w:lang w:val="uk-UA"/>
              </w:rPr>
              <w:t>2 673,9</w:t>
            </w:r>
          </w:p>
        </w:tc>
        <w:tc>
          <w:tcPr>
            <w:tcW w:w="1107" w:type="dxa"/>
            <w:vAlign w:val="bottom"/>
          </w:tcPr>
          <w:p w:rsidR="00132B0E" w:rsidRPr="0072251B" w:rsidRDefault="00132B0E">
            <w:pPr>
              <w:jc w:val="center"/>
              <w:rPr>
                <w:color w:val="000000"/>
                <w:lang w:val="uk-UA"/>
              </w:rPr>
            </w:pPr>
            <w:r w:rsidRPr="0072251B">
              <w:rPr>
                <w:color w:val="000000"/>
                <w:lang w:val="uk-UA"/>
              </w:rPr>
              <w:t>3 486,7</w:t>
            </w:r>
          </w:p>
        </w:tc>
        <w:tc>
          <w:tcPr>
            <w:tcW w:w="1080" w:type="dxa"/>
            <w:noWrap/>
            <w:vAlign w:val="bottom"/>
          </w:tcPr>
          <w:p w:rsidR="00132B0E" w:rsidRPr="0072251B" w:rsidRDefault="00132B0E">
            <w:pPr>
              <w:jc w:val="center"/>
              <w:rPr>
                <w:color w:val="000000"/>
                <w:lang w:val="uk-UA"/>
              </w:rPr>
            </w:pPr>
            <w:r w:rsidRPr="0072251B">
              <w:rPr>
                <w:color w:val="000000"/>
                <w:lang w:val="uk-UA"/>
              </w:rPr>
              <w:t>3 243,1</w:t>
            </w:r>
          </w:p>
        </w:tc>
        <w:tc>
          <w:tcPr>
            <w:tcW w:w="1053" w:type="dxa"/>
            <w:noWrap/>
            <w:vAlign w:val="bottom"/>
          </w:tcPr>
          <w:p w:rsidR="00132B0E" w:rsidRPr="0072251B" w:rsidRDefault="00132B0E">
            <w:pPr>
              <w:jc w:val="center"/>
              <w:rPr>
                <w:color w:val="000000"/>
                <w:lang w:val="uk-UA"/>
              </w:rPr>
            </w:pPr>
            <w:r w:rsidRPr="0072251B">
              <w:rPr>
                <w:color w:val="000000"/>
                <w:lang w:val="uk-UA"/>
              </w:rPr>
              <w:t>21,0</w:t>
            </w:r>
          </w:p>
        </w:tc>
        <w:tc>
          <w:tcPr>
            <w:tcW w:w="1074" w:type="dxa"/>
            <w:vAlign w:val="bottom"/>
          </w:tcPr>
          <w:p w:rsidR="00132B0E" w:rsidRPr="0072251B" w:rsidRDefault="00132B0E">
            <w:pPr>
              <w:jc w:val="center"/>
              <w:rPr>
                <w:lang w:val="uk-UA"/>
              </w:rPr>
            </w:pPr>
            <w:r w:rsidRPr="0072251B">
              <w:rPr>
                <w:lang w:val="uk-UA"/>
              </w:rPr>
              <w:t>21,3</w:t>
            </w:r>
          </w:p>
        </w:tc>
      </w:tr>
      <w:tr w:rsidR="00132B0E" w:rsidRPr="0072251B" w:rsidTr="004552B4">
        <w:trPr>
          <w:gridAfter w:val="1"/>
          <w:wAfter w:w="20" w:type="dxa"/>
          <w:trHeight w:val="20"/>
        </w:trPr>
        <w:tc>
          <w:tcPr>
            <w:tcW w:w="3245" w:type="dxa"/>
            <w:vAlign w:val="center"/>
          </w:tcPr>
          <w:p w:rsidR="00132B0E" w:rsidRPr="000334F9" w:rsidRDefault="000334F9">
            <w:pPr>
              <w:rPr>
                <w:lang w:val="en-US"/>
              </w:rPr>
            </w:pPr>
            <w:r>
              <w:rPr>
                <w:lang w:val="en-US"/>
              </w:rPr>
              <w:t>Property insurance</w:t>
            </w:r>
          </w:p>
        </w:tc>
        <w:tc>
          <w:tcPr>
            <w:tcW w:w="1080" w:type="dxa"/>
            <w:vAlign w:val="bottom"/>
          </w:tcPr>
          <w:p w:rsidR="00132B0E" w:rsidRPr="0072251B" w:rsidRDefault="00132B0E">
            <w:pPr>
              <w:jc w:val="center"/>
              <w:rPr>
                <w:color w:val="000000"/>
                <w:lang w:val="uk-UA"/>
              </w:rPr>
            </w:pPr>
            <w:r w:rsidRPr="0072251B">
              <w:rPr>
                <w:color w:val="000000"/>
                <w:lang w:val="uk-UA"/>
              </w:rPr>
              <w:t>5 098,9</w:t>
            </w:r>
          </w:p>
        </w:tc>
        <w:tc>
          <w:tcPr>
            <w:tcW w:w="1080" w:type="dxa"/>
            <w:noWrap/>
            <w:vAlign w:val="bottom"/>
          </w:tcPr>
          <w:p w:rsidR="00132B0E" w:rsidRPr="0072251B" w:rsidRDefault="00132B0E">
            <w:pPr>
              <w:jc w:val="center"/>
              <w:rPr>
                <w:color w:val="000000"/>
                <w:lang w:val="uk-UA"/>
              </w:rPr>
            </w:pPr>
            <w:r w:rsidRPr="0072251B">
              <w:rPr>
                <w:color w:val="000000"/>
                <w:lang w:val="uk-UA"/>
              </w:rPr>
              <w:t>2 578,5</w:t>
            </w:r>
          </w:p>
        </w:tc>
        <w:tc>
          <w:tcPr>
            <w:tcW w:w="1107" w:type="dxa"/>
            <w:vAlign w:val="bottom"/>
          </w:tcPr>
          <w:p w:rsidR="00132B0E" w:rsidRPr="0072251B" w:rsidRDefault="00132B0E">
            <w:pPr>
              <w:jc w:val="center"/>
              <w:rPr>
                <w:color w:val="000000"/>
                <w:lang w:val="uk-UA"/>
              </w:rPr>
            </w:pPr>
            <w:r w:rsidRPr="0072251B">
              <w:rPr>
                <w:color w:val="000000"/>
                <w:lang w:val="uk-UA"/>
              </w:rPr>
              <w:t>6 440,2</w:t>
            </w:r>
          </w:p>
        </w:tc>
        <w:tc>
          <w:tcPr>
            <w:tcW w:w="1080" w:type="dxa"/>
            <w:noWrap/>
            <w:vAlign w:val="bottom"/>
          </w:tcPr>
          <w:p w:rsidR="00132B0E" w:rsidRPr="0072251B" w:rsidRDefault="00132B0E">
            <w:pPr>
              <w:jc w:val="center"/>
              <w:rPr>
                <w:color w:val="000000"/>
                <w:lang w:val="uk-UA"/>
              </w:rPr>
            </w:pPr>
            <w:r w:rsidRPr="0072251B">
              <w:rPr>
                <w:color w:val="000000"/>
                <w:lang w:val="uk-UA"/>
              </w:rPr>
              <w:t>3 222,0</w:t>
            </w:r>
          </w:p>
        </w:tc>
        <w:tc>
          <w:tcPr>
            <w:tcW w:w="1053" w:type="dxa"/>
            <w:noWrap/>
            <w:vAlign w:val="bottom"/>
          </w:tcPr>
          <w:p w:rsidR="00132B0E" w:rsidRPr="0072251B" w:rsidRDefault="00132B0E">
            <w:pPr>
              <w:jc w:val="center"/>
              <w:rPr>
                <w:color w:val="000000"/>
                <w:lang w:val="uk-UA"/>
              </w:rPr>
            </w:pPr>
            <w:r w:rsidRPr="0072251B">
              <w:rPr>
                <w:color w:val="000000"/>
                <w:lang w:val="uk-UA"/>
              </w:rPr>
              <w:t>26,3</w:t>
            </w:r>
          </w:p>
        </w:tc>
        <w:tc>
          <w:tcPr>
            <w:tcW w:w="1074" w:type="dxa"/>
            <w:vAlign w:val="bottom"/>
          </w:tcPr>
          <w:p w:rsidR="00132B0E" w:rsidRPr="0072251B" w:rsidRDefault="00132B0E">
            <w:pPr>
              <w:jc w:val="center"/>
              <w:rPr>
                <w:lang w:val="uk-UA"/>
              </w:rPr>
            </w:pPr>
            <w:r w:rsidRPr="0072251B">
              <w:rPr>
                <w:lang w:val="uk-UA"/>
              </w:rPr>
              <w:t>25,0</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Insurance against fire risks and risks of natural disasters</w:t>
            </w:r>
          </w:p>
        </w:tc>
        <w:tc>
          <w:tcPr>
            <w:tcW w:w="1080" w:type="dxa"/>
            <w:vAlign w:val="bottom"/>
          </w:tcPr>
          <w:p w:rsidR="00132B0E" w:rsidRPr="0072251B" w:rsidRDefault="00132B0E">
            <w:pPr>
              <w:jc w:val="center"/>
              <w:rPr>
                <w:color w:val="000000"/>
                <w:lang w:val="uk-UA"/>
              </w:rPr>
            </w:pPr>
            <w:r w:rsidRPr="0072251B">
              <w:rPr>
                <w:color w:val="000000"/>
                <w:lang w:val="uk-UA"/>
              </w:rPr>
              <w:t>3 598,1</w:t>
            </w:r>
          </w:p>
        </w:tc>
        <w:tc>
          <w:tcPr>
            <w:tcW w:w="1080" w:type="dxa"/>
            <w:noWrap/>
            <w:vAlign w:val="bottom"/>
          </w:tcPr>
          <w:p w:rsidR="00132B0E" w:rsidRPr="0072251B" w:rsidRDefault="00132B0E">
            <w:pPr>
              <w:jc w:val="center"/>
              <w:rPr>
                <w:color w:val="000000"/>
                <w:lang w:val="uk-UA"/>
              </w:rPr>
            </w:pPr>
            <w:r w:rsidRPr="0072251B">
              <w:rPr>
                <w:color w:val="000000"/>
                <w:lang w:val="uk-UA"/>
              </w:rPr>
              <w:t>1 576,1</w:t>
            </w:r>
          </w:p>
        </w:tc>
        <w:tc>
          <w:tcPr>
            <w:tcW w:w="1107" w:type="dxa"/>
            <w:vAlign w:val="bottom"/>
          </w:tcPr>
          <w:p w:rsidR="00132B0E" w:rsidRPr="0072251B" w:rsidRDefault="00132B0E">
            <w:pPr>
              <w:jc w:val="center"/>
              <w:rPr>
                <w:color w:val="000000"/>
                <w:lang w:val="uk-UA"/>
              </w:rPr>
            </w:pPr>
            <w:r w:rsidRPr="0072251B">
              <w:rPr>
                <w:color w:val="000000"/>
                <w:lang w:val="uk-UA"/>
              </w:rPr>
              <w:t>4 497,1</w:t>
            </w:r>
          </w:p>
        </w:tc>
        <w:tc>
          <w:tcPr>
            <w:tcW w:w="1080" w:type="dxa"/>
            <w:noWrap/>
            <w:vAlign w:val="bottom"/>
          </w:tcPr>
          <w:p w:rsidR="00132B0E" w:rsidRPr="0072251B" w:rsidRDefault="00132B0E">
            <w:pPr>
              <w:jc w:val="center"/>
              <w:rPr>
                <w:color w:val="000000"/>
                <w:lang w:val="uk-UA"/>
              </w:rPr>
            </w:pPr>
            <w:r w:rsidRPr="0072251B">
              <w:rPr>
                <w:color w:val="000000"/>
                <w:lang w:val="uk-UA"/>
              </w:rPr>
              <w:t>1 915,6</w:t>
            </w:r>
          </w:p>
        </w:tc>
        <w:tc>
          <w:tcPr>
            <w:tcW w:w="1053" w:type="dxa"/>
            <w:noWrap/>
            <w:vAlign w:val="bottom"/>
          </w:tcPr>
          <w:p w:rsidR="00132B0E" w:rsidRPr="0072251B" w:rsidRDefault="00132B0E">
            <w:pPr>
              <w:jc w:val="center"/>
              <w:rPr>
                <w:color w:val="000000"/>
                <w:lang w:val="uk-UA"/>
              </w:rPr>
            </w:pPr>
            <w:r w:rsidRPr="0072251B">
              <w:rPr>
                <w:color w:val="000000"/>
                <w:lang w:val="uk-UA"/>
              </w:rPr>
              <w:t>25,0</w:t>
            </w:r>
          </w:p>
        </w:tc>
        <w:tc>
          <w:tcPr>
            <w:tcW w:w="1074" w:type="dxa"/>
            <w:vAlign w:val="bottom"/>
          </w:tcPr>
          <w:p w:rsidR="00132B0E" w:rsidRPr="0072251B" w:rsidRDefault="00132B0E">
            <w:pPr>
              <w:jc w:val="center"/>
              <w:rPr>
                <w:lang w:val="uk-UA"/>
              </w:rPr>
            </w:pPr>
            <w:r w:rsidRPr="0072251B">
              <w:rPr>
                <w:lang w:val="uk-UA"/>
              </w:rPr>
              <w:t>21,5</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Financial risk insurance</w:t>
            </w:r>
          </w:p>
        </w:tc>
        <w:tc>
          <w:tcPr>
            <w:tcW w:w="1080" w:type="dxa"/>
            <w:vAlign w:val="bottom"/>
          </w:tcPr>
          <w:p w:rsidR="00132B0E" w:rsidRPr="0072251B" w:rsidRDefault="00132B0E">
            <w:pPr>
              <w:jc w:val="center"/>
              <w:rPr>
                <w:color w:val="000000"/>
                <w:lang w:val="uk-UA"/>
              </w:rPr>
            </w:pPr>
            <w:r w:rsidRPr="0072251B">
              <w:rPr>
                <w:color w:val="000000"/>
                <w:lang w:val="uk-UA"/>
              </w:rPr>
              <w:t>5 594,4</w:t>
            </w:r>
          </w:p>
        </w:tc>
        <w:tc>
          <w:tcPr>
            <w:tcW w:w="1080" w:type="dxa"/>
            <w:noWrap/>
            <w:vAlign w:val="bottom"/>
          </w:tcPr>
          <w:p w:rsidR="00132B0E" w:rsidRPr="0072251B" w:rsidRDefault="00132B0E">
            <w:pPr>
              <w:jc w:val="center"/>
              <w:rPr>
                <w:color w:val="000000"/>
                <w:lang w:val="uk-UA"/>
              </w:rPr>
            </w:pPr>
            <w:r w:rsidRPr="0072251B">
              <w:rPr>
                <w:color w:val="000000"/>
                <w:lang w:val="uk-UA"/>
              </w:rPr>
              <w:t>1 829,5</w:t>
            </w:r>
          </w:p>
        </w:tc>
        <w:tc>
          <w:tcPr>
            <w:tcW w:w="1107" w:type="dxa"/>
            <w:vAlign w:val="bottom"/>
          </w:tcPr>
          <w:p w:rsidR="00132B0E" w:rsidRPr="0072251B" w:rsidRDefault="00132B0E">
            <w:pPr>
              <w:jc w:val="center"/>
              <w:rPr>
                <w:color w:val="000000"/>
                <w:lang w:val="uk-UA"/>
              </w:rPr>
            </w:pPr>
            <w:r w:rsidRPr="0072251B">
              <w:rPr>
                <w:color w:val="000000"/>
                <w:lang w:val="uk-UA"/>
              </w:rPr>
              <w:t>5 135,5</w:t>
            </w:r>
          </w:p>
        </w:tc>
        <w:tc>
          <w:tcPr>
            <w:tcW w:w="1080" w:type="dxa"/>
            <w:noWrap/>
            <w:vAlign w:val="bottom"/>
          </w:tcPr>
          <w:p w:rsidR="00132B0E" w:rsidRPr="0072251B" w:rsidRDefault="00132B0E">
            <w:pPr>
              <w:jc w:val="center"/>
              <w:rPr>
                <w:color w:val="000000"/>
                <w:lang w:val="uk-UA"/>
              </w:rPr>
            </w:pPr>
            <w:r w:rsidRPr="0072251B">
              <w:rPr>
                <w:color w:val="000000"/>
                <w:lang w:val="uk-UA"/>
              </w:rPr>
              <w:t>1 663,8</w:t>
            </w:r>
          </w:p>
        </w:tc>
        <w:tc>
          <w:tcPr>
            <w:tcW w:w="1053" w:type="dxa"/>
            <w:noWrap/>
            <w:vAlign w:val="bottom"/>
          </w:tcPr>
          <w:p w:rsidR="00132B0E" w:rsidRPr="0072251B" w:rsidRDefault="00132B0E">
            <w:pPr>
              <w:jc w:val="center"/>
              <w:rPr>
                <w:color w:val="000000"/>
                <w:lang w:val="uk-UA"/>
              </w:rPr>
            </w:pPr>
            <w:r w:rsidRPr="0072251B">
              <w:rPr>
                <w:color w:val="000000"/>
                <w:lang w:val="uk-UA"/>
              </w:rPr>
              <w:t>-8,2</w:t>
            </w:r>
          </w:p>
        </w:tc>
        <w:tc>
          <w:tcPr>
            <w:tcW w:w="1074" w:type="dxa"/>
            <w:vAlign w:val="bottom"/>
          </w:tcPr>
          <w:p w:rsidR="00132B0E" w:rsidRPr="0072251B" w:rsidRDefault="00132B0E">
            <w:pPr>
              <w:jc w:val="center"/>
              <w:rPr>
                <w:lang w:val="uk-UA"/>
              </w:rPr>
            </w:pPr>
            <w:r w:rsidRPr="0072251B">
              <w:rPr>
                <w:lang w:val="uk-UA"/>
              </w:rPr>
              <w:t>-9,1</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Third party liability insurance</w:t>
            </w:r>
          </w:p>
        </w:tc>
        <w:tc>
          <w:tcPr>
            <w:tcW w:w="1080" w:type="dxa"/>
            <w:vAlign w:val="bottom"/>
          </w:tcPr>
          <w:p w:rsidR="00132B0E" w:rsidRPr="0072251B" w:rsidRDefault="00132B0E">
            <w:pPr>
              <w:jc w:val="center"/>
              <w:rPr>
                <w:color w:val="000000"/>
                <w:lang w:val="uk-UA"/>
              </w:rPr>
            </w:pPr>
            <w:r w:rsidRPr="0072251B">
              <w:rPr>
                <w:color w:val="000000"/>
                <w:lang w:val="uk-UA"/>
              </w:rPr>
              <w:t>2 925,0</w:t>
            </w:r>
          </w:p>
        </w:tc>
        <w:tc>
          <w:tcPr>
            <w:tcW w:w="1080" w:type="dxa"/>
            <w:noWrap/>
            <w:vAlign w:val="bottom"/>
          </w:tcPr>
          <w:p w:rsidR="00132B0E" w:rsidRPr="0072251B" w:rsidRDefault="00132B0E">
            <w:pPr>
              <w:jc w:val="center"/>
              <w:rPr>
                <w:color w:val="000000"/>
                <w:lang w:val="uk-UA"/>
              </w:rPr>
            </w:pPr>
            <w:r w:rsidRPr="0072251B">
              <w:rPr>
                <w:color w:val="000000"/>
                <w:lang w:val="uk-UA"/>
              </w:rPr>
              <w:t>1 613,2</w:t>
            </w:r>
          </w:p>
        </w:tc>
        <w:tc>
          <w:tcPr>
            <w:tcW w:w="1107" w:type="dxa"/>
            <w:vAlign w:val="bottom"/>
          </w:tcPr>
          <w:p w:rsidR="00132B0E" w:rsidRPr="0072251B" w:rsidRDefault="00132B0E">
            <w:pPr>
              <w:jc w:val="center"/>
              <w:rPr>
                <w:color w:val="000000"/>
                <w:lang w:val="uk-UA"/>
              </w:rPr>
            </w:pPr>
            <w:r w:rsidRPr="0072251B">
              <w:rPr>
                <w:color w:val="000000"/>
                <w:lang w:val="uk-UA"/>
              </w:rPr>
              <w:t>2 567,2</w:t>
            </w:r>
          </w:p>
        </w:tc>
        <w:tc>
          <w:tcPr>
            <w:tcW w:w="1080" w:type="dxa"/>
            <w:noWrap/>
            <w:vAlign w:val="bottom"/>
          </w:tcPr>
          <w:p w:rsidR="00132B0E" w:rsidRPr="0072251B" w:rsidRDefault="00132B0E">
            <w:pPr>
              <w:jc w:val="center"/>
              <w:rPr>
                <w:color w:val="000000"/>
                <w:lang w:val="uk-UA"/>
              </w:rPr>
            </w:pPr>
            <w:r w:rsidRPr="0072251B">
              <w:rPr>
                <w:color w:val="000000"/>
                <w:lang w:val="uk-UA"/>
              </w:rPr>
              <w:t>1 659,7</w:t>
            </w:r>
          </w:p>
        </w:tc>
        <w:tc>
          <w:tcPr>
            <w:tcW w:w="1053" w:type="dxa"/>
            <w:noWrap/>
            <w:vAlign w:val="bottom"/>
          </w:tcPr>
          <w:p w:rsidR="00132B0E" w:rsidRPr="0072251B" w:rsidRDefault="00132B0E">
            <w:pPr>
              <w:jc w:val="center"/>
              <w:rPr>
                <w:color w:val="000000"/>
                <w:lang w:val="uk-UA"/>
              </w:rPr>
            </w:pPr>
            <w:r w:rsidRPr="0072251B">
              <w:rPr>
                <w:color w:val="000000"/>
                <w:lang w:val="uk-UA"/>
              </w:rPr>
              <w:t>-12,2</w:t>
            </w:r>
          </w:p>
        </w:tc>
        <w:tc>
          <w:tcPr>
            <w:tcW w:w="1074" w:type="dxa"/>
            <w:vAlign w:val="bottom"/>
          </w:tcPr>
          <w:p w:rsidR="00132B0E" w:rsidRPr="0072251B" w:rsidRDefault="00132B0E">
            <w:pPr>
              <w:jc w:val="center"/>
              <w:rPr>
                <w:lang w:val="uk-UA"/>
              </w:rPr>
            </w:pPr>
            <w:r w:rsidRPr="0072251B">
              <w:rPr>
                <w:lang w:val="uk-UA"/>
              </w:rPr>
              <w:t>2,9</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Cargo and baggage insurance</w:t>
            </w:r>
          </w:p>
        </w:tc>
        <w:tc>
          <w:tcPr>
            <w:tcW w:w="1080" w:type="dxa"/>
            <w:vAlign w:val="bottom"/>
          </w:tcPr>
          <w:p w:rsidR="00132B0E" w:rsidRPr="0072251B" w:rsidRDefault="00132B0E">
            <w:pPr>
              <w:jc w:val="center"/>
              <w:rPr>
                <w:color w:val="000000"/>
                <w:lang w:val="uk-UA"/>
              </w:rPr>
            </w:pPr>
            <w:r w:rsidRPr="0072251B">
              <w:rPr>
                <w:color w:val="000000"/>
                <w:lang w:val="uk-UA"/>
              </w:rPr>
              <w:t>4 686,7</w:t>
            </w:r>
          </w:p>
        </w:tc>
        <w:tc>
          <w:tcPr>
            <w:tcW w:w="1080" w:type="dxa"/>
            <w:noWrap/>
            <w:vAlign w:val="bottom"/>
          </w:tcPr>
          <w:p w:rsidR="00132B0E" w:rsidRPr="0072251B" w:rsidRDefault="00132B0E">
            <w:pPr>
              <w:jc w:val="center"/>
              <w:rPr>
                <w:color w:val="000000"/>
                <w:lang w:val="uk-UA"/>
              </w:rPr>
            </w:pPr>
            <w:r w:rsidRPr="0072251B">
              <w:rPr>
                <w:color w:val="000000"/>
                <w:lang w:val="uk-UA"/>
              </w:rPr>
              <w:t>1 001,4</w:t>
            </w:r>
          </w:p>
        </w:tc>
        <w:tc>
          <w:tcPr>
            <w:tcW w:w="1107" w:type="dxa"/>
            <w:vAlign w:val="bottom"/>
          </w:tcPr>
          <w:p w:rsidR="00132B0E" w:rsidRPr="0072251B" w:rsidRDefault="00132B0E">
            <w:pPr>
              <w:jc w:val="center"/>
              <w:rPr>
                <w:color w:val="000000"/>
                <w:lang w:val="uk-UA"/>
              </w:rPr>
            </w:pPr>
            <w:r w:rsidRPr="0072251B">
              <w:rPr>
                <w:color w:val="000000"/>
                <w:lang w:val="uk-UA"/>
              </w:rPr>
              <w:t>2 899,0</w:t>
            </w:r>
          </w:p>
        </w:tc>
        <w:tc>
          <w:tcPr>
            <w:tcW w:w="1080" w:type="dxa"/>
            <w:noWrap/>
            <w:vAlign w:val="bottom"/>
          </w:tcPr>
          <w:p w:rsidR="00132B0E" w:rsidRPr="0072251B" w:rsidRDefault="00132B0E">
            <w:pPr>
              <w:jc w:val="center"/>
              <w:rPr>
                <w:color w:val="000000"/>
                <w:lang w:val="uk-UA"/>
              </w:rPr>
            </w:pPr>
            <w:r w:rsidRPr="0072251B">
              <w:rPr>
                <w:color w:val="000000"/>
                <w:lang w:val="uk-UA"/>
              </w:rPr>
              <w:t>1 479,3</w:t>
            </w:r>
          </w:p>
        </w:tc>
        <w:tc>
          <w:tcPr>
            <w:tcW w:w="1053" w:type="dxa"/>
            <w:noWrap/>
            <w:vAlign w:val="bottom"/>
          </w:tcPr>
          <w:p w:rsidR="00132B0E" w:rsidRPr="0072251B" w:rsidRDefault="00132B0E">
            <w:pPr>
              <w:jc w:val="center"/>
              <w:rPr>
                <w:color w:val="000000"/>
                <w:lang w:val="uk-UA"/>
              </w:rPr>
            </w:pPr>
            <w:r w:rsidRPr="0072251B">
              <w:rPr>
                <w:color w:val="000000"/>
                <w:lang w:val="uk-UA"/>
              </w:rPr>
              <w:t>-38,1</w:t>
            </w:r>
          </w:p>
        </w:tc>
        <w:tc>
          <w:tcPr>
            <w:tcW w:w="1074" w:type="dxa"/>
            <w:vAlign w:val="bottom"/>
          </w:tcPr>
          <w:p w:rsidR="00132B0E" w:rsidRPr="0072251B" w:rsidRDefault="00132B0E">
            <w:pPr>
              <w:jc w:val="center"/>
              <w:rPr>
                <w:lang w:val="uk-UA"/>
              </w:rPr>
            </w:pPr>
            <w:r w:rsidRPr="0072251B">
              <w:rPr>
                <w:lang w:val="uk-UA"/>
              </w:rPr>
              <w:t>47,7</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Accident insurance</w:t>
            </w:r>
          </w:p>
        </w:tc>
        <w:tc>
          <w:tcPr>
            <w:tcW w:w="1080" w:type="dxa"/>
            <w:vAlign w:val="bottom"/>
          </w:tcPr>
          <w:p w:rsidR="00132B0E" w:rsidRPr="0072251B" w:rsidRDefault="00132B0E">
            <w:pPr>
              <w:jc w:val="center"/>
              <w:rPr>
                <w:color w:val="000000"/>
                <w:lang w:val="uk-UA"/>
              </w:rPr>
            </w:pPr>
            <w:r w:rsidRPr="0072251B">
              <w:rPr>
                <w:color w:val="000000"/>
                <w:lang w:val="uk-UA"/>
              </w:rPr>
              <w:t>1 308,5</w:t>
            </w:r>
          </w:p>
        </w:tc>
        <w:tc>
          <w:tcPr>
            <w:tcW w:w="1080" w:type="dxa"/>
            <w:noWrap/>
            <w:vAlign w:val="bottom"/>
          </w:tcPr>
          <w:p w:rsidR="00132B0E" w:rsidRPr="0072251B" w:rsidRDefault="00132B0E">
            <w:pPr>
              <w:jc w:val="center"/>
              <w:rPr>
                <w:color w:val="000000"/>
                <w:lang w:val="uk-UA"/>
              </w:rPr>
            </w:pPr>
            <w:r w:rsidRPr="0072251B">
              <w:rPr>
                <w:color w:val="000000"/>
                <w:lang w:val="uk-UA"/>
              </w:rPr>
              <w:t>1 002,9</w:t>
            </w:r>
          </w:p>
        </w:tc>
        <w:tc>
          <w:tcPr>
            <w:tcW w:w="1107" w:type="dxa"/>
            <w:vAlign w:val="bottom"/>
          </w:tcPr>
          <w:p w:rsidR="00132B0E" w:rsidRPr="0072251B" w:rsidRDefault="00132B0E">
            <w:pPr>
              <w:jc w:val="center"/>
              <w:rPr>
                <w:color w:val="000000"/>
                <w:lang w:val="uk-UA"/>
              </w:rPr>
            </w:pPr>
            <w:r w:rsidRPr="0072251B">
              <w:rPr>
                <w:color w:val="000000"/>
                <w:lang w:val="uk-UA"/>
              </w:rPr>
              <w:t>1 754,2</w:t>
            </w:r>
          </w:p>
        </w:tc>
        <w:tc>
          <w:tcPr>
            <w:tcW w:w="1080" w:type="dxa"/>
            <w:noWrap/>
            <w:vAlign w:val="bottom"/>
          </w:tcPr>
          <w:p w:rsidR="00132B0E" w:rsidRPr="0072251B" w:rsidRDefault="00132B0E">
            <w:pPr>
              <w:jc w:val="center"/>
              <w:rPr>
                <w:color w:val="000000"/>
                <w:lang w:val="uk-UA"/>
              </w:rPr>
            </w:pPr>
            <w:r w:rsidRPr="0072251B">
              <w:rPr>
                <w:color w:val="000000"/>
                <w:lang w:val="uk-UA"/>
              </w:rPr>
              <w:t>1 329,0</w:t>
            </w:r>
          </w:p>
        </w:tc>
        <w:tc>
          <w:tcPr>
            <w:tcW w:w="1053" w:type="dxa"/>
            <w:noWrap/>
            <w:vAlign w:val="bottom"/>
          </w:tcPr>
          <w:p w:rsidR="00132B0E" w:rsidRPr="0072251B" w:rsidRDefault="00132B0E">
            <w:pPr>
              <w:jc w:val="center"/>
              <w:rPr>
                <w:color w:val="000000"/>
                <w:lang w:val="uk-UA"/>
              </w:rPr>
            </w:pPr>
            <w:r w:rsidRPr="0072251B">
              <w:rPr>
                <w:color w:val="000000"/>
                <w:lang w:val="uk-UA"/>
              </w:rPr>
              <w:t>34,1</w:t>
            </w:r>
          </w:p>
        </w:tc>
        <w:tc>
          <w:tcPr>
            <w:tcW w:w="1074" w:type="dxa"/>
            <w:vAlign w:val="bottom"/>
          </w:tcPr>
          <w:p w:rsidR="00132B0E" w:rsidRPr="0072251B" w:rsidRDefault="00132B0E">
            <w:pPr>
              <w:jc w:val="center"/>
              <w:rPr>
                <w:lang w:val="uk-UA"/>
              </w:rPr>
            </w:pPr>
            <w:r w:rsidRPr="0072251B">
              <w:rPr>
                <w:lang w:val="uk-UA"/>
              </w:rPr>
              <w:t>32,5</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Medical expenses insurance</w:t>
            </w:r>
          </w:p>
        </w:tc>
        <w:tc>
          <w:tcPr>
            <w:tcW w:w="1080" w:type="dxa"/>
            <w:vAlign w:val="bottom"/>
          </w:tcPr>
          <w:p w:rsidR="00132B0E" w:rsidRPr="0072251B" w:rsidRDefault="00132B0E">
            <w:pPr>
              <w:jc w:val="center"/>
              <w:rPr>
                <w:color w:val="000000"/>
                <w:lang w:val="uk-UA"/>
              </w:rPr>
            </w:pPr>
            <w:r w:rsidRPr="0072251B">
              <w:rPr>
                <w:color w:val="000000"/>
                <w:lang w:val="uk-UA"/>
              </w:rPr>
              <w:t>891,0</w:t>
            </w:r>
          </w:p>
        </w:tc>
        <w:tc>
          <w:tcPr>
            <w:tcW w:w="1080" w:type="dxa"/>
            <w:noWrap/>
            <w:vAlign w:val="bottom"/>
          </w:tcPr>
          <w:p w:rsidR="00132B0E" w:rsidRPr="0072251B" w:rsidRDefault="00132B0E">
            <w:pPr>
              <w:jc w:val="center"/>
              <w:rPr>
                <w:color w:val="000000"/>
                <w:lang w:val="uk-UA"/>
              </w:rPr>
            </w:pPr>
            <w:r w:rsidRPr="0072251B">
              <w:rPr>
                <w:color w:val="000000"/>
                <w:lang w:val="uk-UA"/>
              </w:rPr>
              <w:t>833,2</w:t>
            </w:r>
          </w:p>
        </w:tc>
        <w:tc>
          <w:tcPr>
            <w:tcW w:w="1107" w:type="dxa"/>
            <w:vAlign w:val="bottom"/>
          </w:tcPr>
          <w:p w:rsidR="00132B0E" w:rsidRPr="0072251B" w:rsidRDefault="00132B0E">
            <w:pPr>
              <w:jc w:val="center"/>
              <w:rPr>
                <w:color w:val="000000"/>
                <w:lang w:val="uk-UA"/>
              </w:rPr>
            </w:pPr>
            <w:r w:rsidRPr="0072251B">
              <w:rPr>
                <w:color w:val="000000"/>
                <w:lang w:val="uk-UA"/>
              </w:rPr>
              <w:t>1 345,9</w:t>
            </w:r>
          </w:p>
        </w:tc>
        <w:tc>
          <w:tcPr>
            <w:tcW w:w="1080" w:type="dxa"/>
            <w:noWrap/>
            <w:vAlign w:val="bottom"/>
          </w:tcPr>
          <w:p w:rsidR="00132B0E" w:rsidRPr="0072251B" w:rsidRDefault="00132B0E">
            <w:pPr>
              <w:jc w:val="center"/>
              <w:rPr>
                <w:color w:val="000000"/>
                <w:lang w:val="uk-UA"/>
              </w:rPr>
            </w:pPr>
            <w:r w:rsidRPr="0072251B">
              <w:rPr>
                <w:color w:val="000000"/>
                <w:lang w:val="uk-UA"/>
              </w:rPr>
              <w:t>1 098,8</w:t>
            </w:r>
          </w:p>
        </w:tc>
        <w:tc>
          <w:tcPr>
            <w:tcW w:w="1053" w:type="dxa"/>
            <w:noWrap/>
            <w:vAlign w:val="bottom"/>
          </w:tcPr>
          <w:p w:rsidR="00132B0E" w:rsidRPr="0072251B" w:rsidRDefault="00132B0E">
            <w:pPr>
              <w:jc w:val="center"/>
              <w:rPr>
                <w:color w:val="000000"/>
                <w:lang w:val="uk-UA"/>
              </w:rPr>
            </w:pPr>
            <w:r w:rsidRPr="0072251B">
              <w:rPr>
                <w:color w:val="000000"/>
                <w:lang w:val="uk-UA"/>
              </w:rPr>
              <w:t>51,1</w:t>
            </w:r>
          </w:p>
        </w:tc>
        <w:tc>
          <w:tcPr>
            <w:tcW w:w="1074" w:type="dxa"/>
            <w:vAlign w:val="bottom"/>
          </w:tcPr>
          <w:p w:rsidR="00132B0E" w:rsidRPr="0072251B" w:rsidRDefault="00132B0E">
            <w:pPr>
              <w:jc w:val="center"/>
              <w:rPr>
                <w:lang w:val="uk-UA"/>
              </w:rPr>
            </w:pPr>
            <w:r w:rsidRPr="0072251B">
              <w:rPr>
                <w:lang w:val="uk-UA"/>
              </w:rPr>
              <w:t>31,9</w:t>
            </w:r>
          </w:p>
        </w:tc>
      </w:tr>
      <w:tr w:rsidR="00132B0E" w:rsidRPr="0072251B" w:rsidTr="004552B4">
        <w:trPr>
          <w:gridAfter w:val="1"/>
          <w:wAfter w:w="20" w:type="dxa"/>
          <w:trHeight w:val="20"/>
        </w:trPr>
        <w:tc>
          <w:tcPr>
            <w:tcW w:w="3245" w:type="dxa"/>
            <w:vAlign w:val="center"/>
          </w:tcPr>
          <w:p w:rsidR="00132B0E" w:rsidRPr="0072251B" w:rsidRDefault="000334F9">
            <w:pPr>
              <w:rPr>
                <w:lang w:val="uk-UA"/>
              </w:rPr>
            </w:pPr>
            <w:r w:rsidRPr="000334F9">
              <w:rPr>
                <w:lang w:val="uk-UA"/>
              </w:rPr>
              <w:t>Aviation insurance</w:t>
            </w:r>
          </w:p>
        </w:tc>
        <w:tc>
          <w:tcPr>
            <w:tcW w:w="1080" w:type="dxa"/>
            <w:vAlign w:val="bottom"/>
          </w:tcPr>
          <w:p w:rsidR="00132B0E" w:rsidRPr="0072251B" w:rsidRDefault="00132B0E">
            <w:pPr>
              <w:jc w:val="center"/>
              <w:rPr>
                <w:color w:val="000000"/>
                <w:lang w:val="uk-UA"/>
              </w:rPr>
            </w:pPr>
            <w:r w:rsidRPr="0072251B">
              <w:rPr>
                <w:color w:val="000000"/>
                <w:lang w:val="uk-UA"/>
              </w:rPr>
              <w:t>764,3</w:t>
            </w:r>
          </w:p>
        </w:tc>
        <w:tc>
          <w:tcPr>
            <w:tcW w:w="1080" w:type="dxa"/>
            <w:noWrap/>
            <w:vAlign w:val="bottom"/>
          </w:tcPr>
          <w:p w:rsidR="00132B0E" w:rsidRPr="0072251B" w:rsidRDefault="00132B0E">
            <w:pPr>
              <w:jc w:val="center"/>
              <w:rPr>
                <w:color w:val="000000"/>
                <w:lang w:val="uk-UA"/>
              </w:rPr>
            </w:pPr>
            <w:r w:rsidRPr="0072251B">
              <w:rPr>
                <w:color w:val="000000"/>
                <w:lang w:val="uk-UA"/>
              </w:rPr>
              <w:t>662,8</w:t>
            </w:r>
          </w:p>
        </w:tc>
        <w:tc>
          <w:tcPr>
            <w:tcW w:w="1107" w:type="dxa"/>
            <w:vAlign w:val="bottom"/>
          </w:tcPr>
          <w:p w:rsidR="00132B0E" w:rsidRPr="0072251B" w:rsidRDefault="00132B0E">
            <w:pPr>
              <w:jc w:val="center"/>
              <w:rPr>
                <w:color w:val="000000"/>
                <w:lang w:val="uk-UA"/>
              </w:rPr>
            </w:pPr>
            <w:r w:rsidRPr="0072251B">
              <w:rPr>
                <w:color w:val="000000"/>
                <w:lang w:val="uk-UA"/>
              </w:rPr>
              <w:t>1 041,7</w:t>
            </w:r>
          </w:p>
        </w:tc>
        <w:tc>
          <w:tcPr>
            <w:tcW w:w="1080" w:type="dxa"/>
            <w:noWrap/>
            <w:vAlign w:val="bottom"/>
          </w:tcPr>
          <w:p w:rsidR="00132B0E" w:rsidRPr="0072251B" w:rsidRDefault="00132B0E">
            <w:pPr>
              <w:jc w:val="center"/>
              <w:rPr>
                <w:color w:val="000000"/>
                <w:lang w:val="uk-UA"/>
              </w:rPr>
            </w:pPr>
            <w:r w:rsidRPr="0072251B">
              <w:rPr>
                <w:color w:val="000000"/>
                <w:lang w:val="uk-UA"/>
              </w:rPr>
              <w:t>778,5</w:t>
            </w:r>
          </w:p>
        </w:tc>
        <w:tc>
          <w:tcPr>
            <w:tcW w:w="1053" w:type="dxa"/>
            <w:noWrap/>
            <w:vAlign w:val="bottom"/>
          </w:tcPr>
          <w:p w:rsidR="00132B0E" w:rsidRPr="0072251B" w:rsidRDefault="00132B0E">
            <w:pPr>
              <w:jc w:val="center"/>
              <w:rPr>
                <w:color w:val="000000"/>
                <w:lang w:val="uk-UA"/>
              </w:rPr>
            </w:pPr>
            <w:r w:rsidRPr="0072251B">
              <w:rPr>
                <w:color w:val="000000"/>
                <w:lang w:val="uk-UA"/>
              </w:rPr>
              <w:t>36,3</w:t>
            </w:r>
          </w:p>
        </w:tc>
        <w:tc>
          <w:tcPr>
            <w:tcW w:w="1074" w:type="dxa"/>
            <w:vAlign w:val="bottom"/>
          </w:tcPr>
          <w:p w:rsidR="00132B0E" w:rsidRPr="0072251B" w:rsidRDefault="00132B0E">
            <w:pPr>
              <w:jc w:val="center"/>
              <w:rPr>
                <w:lang w:val="uk-UA"/>
              </w:rPr>
            </w:pPr>
            <w:r w:rsidRPr="0072251B">
              <w:rPr>
                <w:lang w:val="uk-UA"/>
              </w:rPr>
              <w:t>17,5</w:t>
            </w:r>
          </w:p>
        </w:tc>
      </w:tr>
      <w:tr w:rsidR="00132B0E" w:rsidRPr="0072251B" w:rsidTr="004552B4">
        <w:trPr>
          <w:gridAfter w:val="1"/>
          <w:wAfter w:w="20" w:type="dxa"/>
          <w:trHeight w:val="20"/>
        </w:trPr>
        <w:tc>
          <w:tcPr>
            <w:tcW w:w="3245" w:type="dxa"/>
            <w:vAlign w:val="center"/>
          </w:tcPr>
          <w:p w:rsidR="00132B0E" w:rsidRPr="000334F9" w:rsidRDefault="000334F9">
            <w:pPr>
              <w:rPr>
                <w:lang w:val="en-US"/>
              </w:rPr>
            </w:pPr>
            <w:r>
              <w:rPr>
                <w:lang w:val="en-US"/>
              </w:rPr>
              <w:t>Insurance of loans</w:t>
            </w:r>
          </w:p>
        </w:tc>
        <w:tc>
          <w:tcPr>
            <w:tcW w:w="1080" w:type="dxa"/>
            <w:vAlign w:val="bottom"/>
          </w:tcPr>
          <w:p w:rsidR="00132B0E" w:rsidRPr="0072251B" w:rsidRDefault="00132B0E">
            <w:pPr>
              <w:jc w:val="center"/>
              <w:rPr>
                <w:color w:val="000000"/>
                <w:lang w:val="uk-UA"/>
              </w:rPr>
            </w:pPr>
            <w:r w:rsidRPr="0072251B">
              <w:rPr>
                <w:color w:val="000000"/>
                <w:lang w:val="uk-UA"/>
              </w:rPr>
              <w:t>365,0</w:t>
            </w:r>
          </w:p>
        </w:tc>
        <w:tc>
          <w:tcPr>
            <w:tcW w:w="1080" w:type="dxa"/>
            <w:noWrap/>
            <w:vAlign w:val="bottom"/>
          </w:tcPr>
          <w:p w:rsidR="00132B0E" w:rsidRPr="0072251B" w:rsidRDefault="00132B0E">
            <w:pPr>
              <w:jc w:val="center"/>
              <w:rPr>
                <w:color w:val="000000"/>
                <w:lang w:val="uk-UA"/>
              </w:rPr>
            </w:pPr>
            <w:r w:rsidRPr="0072251B">
              <w:rPr>
                <w:color w:val="000000"/>
                <w:lang w:val="uk-UA"/>
              </w:rPr>
              <w:t>334,7</w:t>
            </w:r>
          </w:p>
        </w:tc>
        <w:tc>
          <w:tcPr>
            <w:tcW w:w="1107" w:type="dxa"/>
            <w:vAlign w:val="bottom"/>
          </w:tcPr>
          <w:p w:rsidR="00132B0E" w:rsidRPr="0072251B" w:rsidRDefault="00132B0E">
            <w:pPr>
              <w:jc w:val="center"/>
              <w:rPr>
                <w:color w:val="000000"/>
                <w:lang w:val="uk-UA"/>
              </w:rPr>
            </w:pPr>
            <w:r w:rsidRPr="0072251B">
              <w:rPr>
                <w:color w:val="000000"/>
                <w:lang w:val="uk-UA"/>
              </w:rPr>
              <w:t>1 113,6</w:t>
            </w:r>
          </w:p>
        </w:tc>
        <w:tc>
          <w:tcPr>
            <w:tcW w:w="1080" w:type="dxa"/>
            <w:noWrap/>
            <w:vAlign w:val="bottom"/>
          </w:tcPr>
          <w:p w:rsidR="00132B0E" w:rsidRPr="0072251B" w:rsidRDefault="00132B0E">
            <w:pPr>
              <w:jc w:val="center"/>
              <w:rPr>
                <w:color w:val="000000"/>
                <w:lang w:val="uk-UA"/>
              </w:rPr>
            </w:pPr>
            <w:r w:rsidRPr="0072251B">
              <w:rPr>
                <w:color w:val="000000"/>
                <w:lang w:val="uk-UA"/>
              </w:rPr>
              <w:t>577,2</w:t>
            </w:r>
          </w:p>
        </w:tc>
        <w:tc>
          <w:tcPr>
            <w:tcW w:w="1053" w:type="dxa"/>
            <w:noWrap/>
            <w:vAlign w:val="bottom"/>
          </w:tcPr>
          <w:p w:rsidR="00132B0E" w:rsidRPr="0072251B" w:rsidRDefault="00132B0E">
            <w:pPr>
              <w:jc w:val="center"/>
              <w:rPr>
                <w:color w:val="000000"/>
                <w:lang w:val="uk-UA"/>
              </w:rPr>
            </w:pPr>
            <w:r w:rsidRPr="0072251B">
              <w:rPr>
                <w:color w:val="000000"/>
                <w:lang w:val="uk-UA"/>
              </w:rPr>
              <w:t>205,1</w:t>
            </w:r>
          </w:p>
        </w:tc>
        <w:tc>
          <w:tcPr>
            <w:tcW w:w="1074" w:type="dxa"/>
            <w:vAlign w:val="bottom"/>
          </w:tcPr>
          <w:p w:rsidR="00132B0E" w:rsidRPr="0072251B" w:rsidRDefault="00132B0E">
            <w:pPr>
              <w:jc w:val="center"/>
              <w:rPr>
                <w:lang w:val="uk-UA"/>
              </w:rPr>
            </w:pPr>
            <w:r w:rsidRPr="0072251B">
              <w:rPr>
                <w:lang w:val="uk-UA"/>
              </w:rPr>
              <w:t>72,5</w:t>
            </w:r>
          </w:p>
        </w:tc>
      </w:tr>
      <w:tr w:rsidR="00132B0E" w:rsidRPr="0072251B" w:rsidTr="004552B4">
        <w:trPr>
          <w:gridAfter w:val="1"/>
          <w:wAfter w:w="20" w:type="dxa"/>
          <w:trHeight w:val="20"/>
        </w:trPr>
        <w:tc>
          <w:tcPr>
            <w:tcW w:w="3245" w:type="dxa"/>
            <w:vAlign w:val="center"/>
          </w:tcPr>
          <w:p w:rsidR="00132B0E" w:rsidRPr="000334F9" w:rsidRDefault="002F2894">
            <w:pPr>
              <w:rPr>
                <w:lang w:val="en-US"/>
              </w:rPr>
            </w:pPr>
            <w:r>
              <w:rPr>
                <w:lang w:val="en-US"/>
              </w:rPr>
              <w:t>Other types of</w:t>
            </w:r>
            <w:r w:rsidR="000334F9">
              <w:rPr>
                <w:lang w:val="en-US"/>
              </w:rPr>
              <w:t xml:space="preserve"> insurance</w:t>
            </w:r>
          </w:p>
        </w:tc>
        <w:tc>
          <w:tcPr>
            <w:tcW w:w="1080" w:type="dxa"/>
            <w:vAlign w:val="bottom"/>
          </w:tcPr>
          <w:p w:rsidR="00132B0E" w:rsidRPr="0072251B" w:rsidRDefault="00132B0E">
            <w:pPr>
              <w:jc w:val="center"/>
              <w:rPr>
                <w:color w:val="000000"/>
                <w:lang w:val="uk-UA"/>
              </w:rPr>
            </w:pPr>
            <w:r w:rsidRPr="0072251B">
              <w:rPr>
                <w:color w:val="000000"/>
                <w:lang w:val="uk-UA"/>
              </w:rPr>
              <w:t>1 791,9</w:t>
            </w:r>
          </w:p>
        </w:tc>
        <w:tc>
          <w:tcPr>
            <w:tcW w:w="1080" w:type="dxa"/>
            <w:noWrap/>
            <w:vAlign w:val="bottom"/>
          </w:tcPr>
          <w:p w:rsidR="00132B0E" w:rsidRPr="0072251B" w:rsidRDefault="00132B0E">
            <w:pPr>
              <w:jc w:val="center"/>
              <w:rPr>
                <w:color w:val="000000"/>
                <w:lang w:val="uk-UA"/>
              </w:rPr>
            </w:pPr>
            <w:r w:rsidRPr="0072251B">
              <w:rPr>
                <w:color w:val="000000"/>
                <w:lang w:val="uk-UA"/>
              </w:rPr>
              <w:t>1 616,4</w:t>
            </w:r>
          </w:p>
        </w:tc>
        <w:tc>
          <w:tcPr>
            <w:tcW w:w="1107" w:type="dxa"/>
            <w:vAlign w:val="bottom"/>
          </w:tcPr>
          <w:p w:rsidR="00132B0E" w:rsidRPr="0072251B" w:rsidRDefault="00132B0E">
            <w:pPr>
              <w:jc w:val="center"/>
              <w:rPr>
                <w:color w:val="000000"/>
                <w:lang w:val="uk-UA"/>
              </w:rPr>
            </w:pPr>
            <w:r w:rsidRPr="0072251B">
              <w:rPr>
                <w:color w:val="000000"/>
                <w:lang w:val="uk-UA"/>
              </w:rPr>
              <w:t>2 205,2</w:t>
            </w:r>
          </w:p>
        </w:tc>
        <w:tc>
          <w:tcPr>
            <w:tcW w:w="1080" w:type="dxa"/>
            <w:noWrap/>
            <w:vAlign w:val="bottom"/>
          </w:tcPr>
          <w:p w:rsidR="00132B0E" w:rsidRPr="0072251B" w:rsidRDefault="00132B0E">
            <w:pPr>
              <w:jc w:val="center"/>
              <w:rPr>
                <w:color w:val="000000"/>
                <w:lang w:val="uk-UA"/>
              </w:rPr>
            </w:pPr>
            <w:r w:rsidRPr="0072251B">
              <w:rPr>
                <w:color w:val="000000"/>
                <w:lang w:val="uk-UA"/>
              </w:rPr>
              <w:t>1 830,5</w:t>
            </w:r>
          </w:p>
        </w:tc>
        <w:tc>
          <w:tcPr>
            <w:tcW w:w="1053" w:type="dxa"/>
            <w:noWrap/>
            <w:vAlign w:val="bottom"/>
          </w:tcPr>
          <w:p w:rsidR="00132B0E" w:rsidRPr="0072251B" w:rsidRDefault="00132B0E">
            <w:pPr>
              <w:jc w:val="center"/>
              <w:rPr>
                <w:color w:val="000000"/>
                <w:lang w:val="uk-UA"/>
              </w:rPr>
            </w:pPr>
            <w:r w:rsidRPr="0072251B">
              <w:rPr>
                <w:color w:val="000000"/>
                <w:lang w:val="uk-UA"/>
              </w:rPr>
              <w:t>23,1</w:t>
            </w:r>
          </w:p>
        </w:tc>
        <w:tc>
          <w:tcPr>
            <w:tcW w:w="1074" w:type="dxa"/>
            <w:vAlign w:val="bottom"/>
          </w:tcPr>
          <w:p w:rsidR="00132B0E" w:rsidRPr="0072251B" w:rsidRDefault="00132B0E">
            <w:pPr>
              <w:jc w:val="center"/>
              <w:rPr>
                <w:lang w:val="uk-UA"/>
              </w:rPr>
            </w:pPr>
            <w:r w:rsidRPr="0072251B">
              <w:rPr>
                <w:lang w:val="uk-UA"/>
              </w:rPr>
              <w:t>13,2</w:t>
            </w:r>
          </w:p>
        </w:tc>
      </w:tr>
      <w:tr w:rsidR="00132B0E" w:rsidRPr="0072251B" w:rsidTr="004552B4">
        <w:trPr>
          <w:gridAfter w:val="1"/>
          <w:wAfter w:w="20" w:type="dxa"/>
          <w:trHeight w:val="20"/>
        </w:trPr>
        <w:tc>
          <w:tcPr>
            <w:tcW w:w="3245" w:type="dxa"/>
            <w:noWrap/>
            <w:vAlign w:val="center"/>
          </w:tcPr>
          <w:p w:rsidR="00132B0E" w:rsidRPr="000334F9" w:rsidRDefault="000334F9">
            <w:pPr>
              <w:rPr>
                <w:b/>
                <w:bCs/>
                <w:lang w:val="en-US"/>
              </w:rPr>
            </w:pPr>
            <w:r>
              <w:rPr>
                <w:b/>
                <w:bCs/>
                <w:lang w:val="en-US"/>
              </w:rPr>
              <w:t>Total</w:t>
            </w:r>
          </w:p>
        </w:tc>
        <w:tc>
          <w:tcPr>
            <w:tcW w:w="1080" w:type="dxa"/>
            <w:vAlign w:val="bottom"/>
          </w:tcPr>
          <w:p w:rsidR="00132B0E" w:rsidRPr="0072251B" w:rsidRDefault="00132B0E">
            <w:pPr>
              <w:jc w:val="center"/>
              <w:rPr>
                <w:b/>
                <w:bCs/>
                <w:color w:val="000000"/>
                <w:lang w:val="uk-UA"/>
              </w:rPr>
            </w:pPr>
            <w:r w:rsidRPr="0072251B">
              <w:rPr>
                <w:b/>
                <w:bCs/>
                <w:color w:val="000000"/>
                <w:lang w:val="uk-UA"/>
              </w:rPr>
              <w:t>43 431,8</w:t>
            </w:r>
          </w:p>
        </w:tc>
        <w:tc>
          <w:tcPr>
            <w:tcW w:w="1080" w:type="dxa"/>
            <w:noWrap/>
            <w:vAlign w:val="bottom"/>
          </w:tcPr>
          <w:p w:rsidR="00132B0E" w:rsidRPr="0072251B" w:rsidRDefault="00132B0E">
            <w:pPr>
              <w:jc w:val="center"/>
              <w:rPr>
                <w:b/>
                <w:bCs/>
                <w:color w:val="000000"/>
                <w:lang w:val="uk-UA"/>
              </w:rPr>
            </w:pPr>
            <w:r w:rsidRPr="0072251B">
              <w:rPr>
                <w:b/>
                <w:bCs/>
                <w:color w:val="000000"/>
                <w:lang w:val="uk-UA"/>
              </w:rPr>
              <w:t>28 494,4</w:t>
            </w:r>
          </w:p>
        </w:tc>
        <w:tc>
          <w:tcPr>
            <w:tcW w:w="1107" w:type="dxa"/>
            <w:vAlign w:val="bottom"/>
          </w:tcPr>
          <w:p w:rsidR="00132B0E" w:rsidRPr="0072251B" w:rsidRDefault="00132B0E">
            <w:pPr>
              <w:jc w:val="center"/>
              <w:rPr>
                <w:b/>
                <w:bCs/>
                <w:color w:val="000000"/>
                <w:lang w:val="uk-UA"/>
              </w:rPr>
            </w:pPr>
            <w:r w:rsidRPr="0072251B">
              <w:rPr>
                <w:b/>
                <w:bCs/>
                <w:color w:val="000000"/>
                <w:lang w:val="uk-UA"/>
              </w:rPr>
              <w:t>49 367,5</w:t>
            </w:r>
          </w:p>
        </w:tc>
        <w:tc>
          <w:tcPr>
            <w:tcW w:w="1080" w:type="dxa"/>
            <w:noWrap/>
            <w:vAlign w:val="bottom"/>
          </w:tcPr>
          <w:p w:rsidR="00132B0E" w:rsidRPr="0072251B" w:rsidRDefault="00132B0E">
            <w:pPr>
              <w:jc w:val="center"/>
              <w:rPr>
                <w:b/>
                <w:bCs/>
                <w:color w:val="000000"/>
                <w:lang w:val="uk-UA"/>
              </w:rPr>
            </w:pPr>
            <w:r w:rsidRPr="0072251B">
              <w:rPr>
                <w:b/>
                <w:bCs/>
                <w:color w:val="000000"/>
                <w:lang w:val="uk-UA"/>
              </w:rPr>
              <w:t>34 424,3</w:t>
            </w:r>
          </w:p>
        </w:tc>
        <w:tc>
          <w:tcPr>
            <w:tcW w:w="1053" w:type="dxa"/>
            <w:noWrap/>
            <w:vAlign w:val="bottom"/>
          </w:tcPr>
          <w:p w:rsidR="00132B0E" w:rsidRPr="0072251B" w:rsidRDefault="00132B0E">
            <w:pPr>
              <w:jc w:val="center"/>
              <w:rPr>
                <w:color w:val="000000"/>
                <w:lang w:val="uk-UA"/>
              </w:rPr>
            </w:pPr>
            <w:r w:rsidRPr="0072251B">
              <w:rPr>
                <w:color w:val="000000"/>
                <w:lang w:val="uk-UA"/>
              </w:rPr>
              <w:t>13,7</w:t>
            </w:r>
          </w:p>
        </w:tc>
        <w:tc>
          <w:tcPr>
            <w:tcW w:w="1074" w:type="dxa"/>
            <w:vAlign w:val="bottom"/>
          </w:tcPr>
          <w:p w:rsidR="00132B0E" w:rsidRPr="0072251B" w:rsidRDefault="00132B0E">
            <w:pPr>
              <w:jc w:val="center"/>
              <w:rPr>
                <w:lang w:val="uk-UA"/>
              </w:rPr>
            </w:pPr>
            <w:r w:rsidRPr="0072251B">
              <w:rPr>
                <w:lang w:val="uk-UA"/>
              </w:rPr>
              <w:t>20,8</w:t>
            </w:r>
          </w:p>
        </w:tc>
      </w:tr>
    </w:tbl>
    <w:p w:rsidR="00132B0E" w:rsidRPr="0072251B" w:rsidRDefault="00132B0E" w:rsidP="00935492">
      <w:pPr>
        <w:rPr>
          <w:b/>
          <w:bCs/>
          <w:color w:val="000000"/>
          <w:lang w:val="uk-UA"/>
        </w:rPr>
      </w:pPr>
    </w:p>
    <w:p w:rsidR="00F250C0" w:rsidRPr="00F250C0" w:rsidRDefault="00F250C0" w:rsidP="00F250C0">
      <w:pPr>
        <w:rPr>
          <w:sz w:val="28"/>
          <w:szCs w:val="28"/>
          <w:lang w:val="en-US"/>
        </w:rPr>
      </w:pPr>
      <w:r w:rsidRPr="00347FF8">
        <w:rPr>
          <w:rStyle w:val="tlid-translation"/>
          <w:sz w:val="28"/>
          <w:szCs w:val="28"/>
          <w:lang w:val="en-US"/>
        </w:rPr>
        <w:t>The growth of net insurance premiums for 2017 (+ 20.8% or</w:t>
      </w:r>
      <w:r w:rsidRPr="00347FF8">
        <w:rPr>
          <w:sz w:val="28"/>
          <w:szCs w:val="28"/>
          <w:lang w:val="en-US"/>
        </w:rPr>
        <w:br/>
      </w:r>
      <w:r w:rsidRPr="00347FF8">
        <w:rPr>
          <w:rStyle w:val="tlid-translation"/>
          <w:sz w:val="28"/>
          <w:szCs w:val="28"/>
          <w:lang w:val="en-US"/>
        </w:rPr>
        <w:t xml:space="preserve"> 5 929.9 million UAH) was paid for the following types of insurance: </w:t>
      </w:r>
      <w:r w:rsidR="002F2894">
        <w:rPr>
          <w:rStyle w:val="tlid-translation"/>
          <w:sz w:val="28"/>
          <w:szCs w:val="28"/>
          <w:lang w:val="en-US"/>
        </w:rPr>
        <w:t xml:space="preserve">motor insurance (+ 18.9% or </w:t>
      </w:r>
      <w:r w:rsidRPr="00347FF8">
        <w:rPr>
          <w:rStyle w:val="tlid-translation"/>
          <w:sz w:val="28"/>
          <w:szCs w:val="28"/>
          <w:lang w:val="en-US"/>
        </w:rPr>
        <w:t>1 862.6 million</w:t>
      </w:r>
      <w:r w:rsidR="002F2894">
        <w:rPr>
          <w:rStyle w:val="tlid-translation"/>
          <w:sz w:val="28"/>
          <w:szCs w:val="28"/>
          <w:lang w:val="en-US"/>
        </w:rPr>
        <w:t xml:space="preserve"> UAH</w:t>
      </w:r>
      <w:r w:rsidRPr="00347FF8">
        <w:rPr>
          <w:rStyle w:val="tlid-translation"/>
          <w:sz w:val="28"/>
          <w:szCs w:val="28"/>
          <w:lang w:val="en-US"/>
        </w:rPr>
        <w:t>),</w:t>
      </w:r>
      <w:r w:rsidR="002F2894">
        <w:rPr>
          <w:rStyle w:val="tlid-translation"/>
          <w:sz w:val="28"/>
          <w:szCs w:val="28"/>
          <w:lang w:val="en-US"/>
        </w:rPr>
        <w:t xml:space="preserve"> life insurance (+ 34.1% or </w:t>
      </w:r>
      <w:r w:rsidRPr="00347FF8">
        <w:rPr>
          <w:rStyle w:val="tlid-translation"/>
          <w:sz w:val="28"/>
          <w:szCs w:val="28"/>
          <w:lang w:val="en-US"/>
        </w:rPr>
        <w:t>992.4 million</w:t>
      </w:r>
      <w:r w:rsidR="002F2894">
        <w:rPr>
          <w:rStyle w:val="tlid-translation"/>
          <w:sz w:val="28"/>
          <w:szCs w:val="28"/>
          <w:lang w:val="en-US"/>
        </w:rPr>
        <w:t xml:space="preserve"> UAH</w:t>
      </w:r>
      <w:r w:rsidRPr="00347FF8">
        <w:rPr>
          <w:rStyle w:val="tlid-translation"/>
          <w:sz w:val="28"/>
          <w:szCs w:val="28"/>
          <w:lang w:val="en-US"/>
        </w:rPr>
        <w:t>) , insura</w:t>
      </w:r>
      <w:r w:rsidR="002F2894">
        <w:rPr>
          <w:rStyle w:val="tlid-translation"/>
          <w:sz w:val="28"/>
          <w:szCs w:val="28"/>
          <w:lang w:val="en-US"/>
        </w:rPr>
        <w:t xml:space="preserve">nce of property (+ 25.0% or </w:t>
      </w:r>
      <w:r w:rsidRPr="00347FF8">
        <w:rPr>
          <w:rStyle w:val="tlid-translation"/>
          <w:sz w:val="28"/>
          <w:szCs w:val="28"/>
          <w:lang w:val="en-US"/>
        </w:rPr>
        <w:t>643.5 million</w:t>
      </w:r>
      <w:r w:rsidR="002F2894">
        <w:rPr>
          <w:rStyle w:val="tlid-translation"/>
          <w:sz w:val="28"/>
          <w:szCs w:val="28"/>
          <w:lang w:val="en-US"/>
        </w:rPr>
        <w:t xml:space="preserve"> UAH</w:t>
      </w:r>
      <w:r w:rsidRPr="00347FF8">
        <w:rPr>
          <w:rStyle w:val="tlid-translation"/>
          <w:sz w:val="28"/>
          <w:szCs w:val="28"/>
          <w:lang w:val="en-US"/>
        </w:rPr>
        <w:t>), h</w:t>
      </w:r>
      <w:r w:rsidR="002F2894">
        <w:rPr>
          <w:rStyle w:val="tlid-translation"/>
          <w:sz w:val="28"/>
          <w:szCs w:val="28"/>
          <w:lang w:val="en-US"/>
        </w:rPr>
        <w:t xml:space="preserve">ealth insurance (+ 21.3% or </w:t>
      </w:r>
      <w:r w:rsidRPr="00347FF8">
        <w:rPr>
          <w:rStyle w:val="tlid-translation"/>
          <w:sz w:val="28"/>
          <w:szCs w:val="28"/>
          <w:lang w:val="en-US"/>
        </w:rPr>
        <w:t>569.2 million</w:t>
      </w:r>
      <w:r w:rsidR="002F2894">
        <w:rPr>
          <w:rStyle w:val="tlid-translation"/>
          <w:sz w:val="28"/>
          <w:szCs w:val="28"/>
          <w:lang w:val="en-US"/>
        </w:rPr>
        <w:t xml:space="preserve"> UAH</w:t>
      </w:r>
      <w:r w:rsidRPr="00347FF8">
        <w:rPr>
          <w:rStyle w:val="tlid-translation"/>
          <w:sz w:val="28"/>
          <w:szCs w:val="28"/>
          <w:lang w:val="en-US"/>
        </w:rPr>
        <w:t>), cargo and luggage insurance (+ 47.7% or 477, 9 million UAH), insurance against fire risks and risks of na</w:t>
      </w:r>
      <w:r w:rsidR="002F2894">
        <w:rPr>
          <w:rStyle w:val="tlid-translation"/>
          <w:sz w:val="28"/>
          <w:szCs w:val="28"/>
          <w:lang w:val="en-US"/>
        </w:rPr>
        <w:t xml:space="preserve">tural disasters (+ 21.5% or </w:t>
      </w:r>
      <w:r w:rsidRPr="00347FF8">
        <w:rPr>
          <w:rStyle w:val="tlid-translation"/>
          <w:sz w:val="28"/>
          <w:szCs w:val="28"/>
          <w:lang w:val="en-US"/>
        </w:rPr>
        <w:t>339.5 million</w:t>
      </w:r>
      <w:r w:rsidR="002F2894">
        <w:rPr>
          <w:rStyle w:val="tlid-translation"/>
          <w:sz w:val="28"/>
          <w:szCs w:val="28"/>
          <w:lang w:val="en-US"/>
        </w:rPr>
        <w:t xml:space="preserve"> UAH</w:t>
      </w:r>
      <w:r w:rsidRPr="00347FF8">
        <w:rPr>
          <w:rStyle w:val="tlid-translation"/>
          <w:sz w:val="28"/>
          <w:szCs w:val="28"/>
          <w:lang w:val="en-US"/>
        </w:rPr>
        <w:t>), acc</w:t>
      </w:r>
      <w:r w:rsidR="002F2894">
        <w:rPr>
          <w:rStyle w:val="tlid-translation"/>
          <w:sz w:val="28"/>
          <w:szCs w:val="28"/>
          <w:lang w:val="en-US"/>
        </w:rPr>
        <w:t xml:space="preserve">ident insurance (+ 32.5% or </w:t>
      </w:r>
      <w:r w:rsidRPr="00347FF8">
        <w:rPr>
          <w:rStyle w:val="tlid-translation"/>
          <w:sz w:val="28"/>
          <w:szCs w:val="28"/>
          <w:lang w:val="en-US"/>
        </w:rPr>
        <w:t>326.1 million</w:t>
      </w:r>
      <w:r w:rsidR="002F2894">
        <w:rPr>
          <w:rStyle w:val="tlid-translation"/>
          <w:sz w:val="28"/>
          <w:szCs w:val="28"/>
          <w:lang w:val="en-US"/>
        </w:rPr>
        <w:t xml:space="preserve"> UAH)</w:t>
      </w:r>
      <w:r w:rsidRPr="00347FF8">
        <w:rPr>
          <w:rStyle w:val="tlid-translation"/>
          <w:sz w:val="28"/>
          <w:szCs w:val="28"/>
          <w:lang w:val="en-US"/>
        </w:rPr>
        <w:t xml:space="preserve"> , medical exp</w:t>
      </w:r>
      <w:r w:rsidR="002F2894">
        <w:rPr>
          <w:rStyle w:val="tlid-translation"/>
          <w:sz w:val="28"/>
          <w:szCs w:val="28"/>
          <w:lang w:val="en-US"/>
        </w:rPr>
        <w:t xml:space="preserve">enses insurance (+ 31.9% or </w:t>
      </w:r>
      <w:r w:rsidRPr="00347FF8">
        <w:rPr>
          <w:rStyle w:val="tlid-translation"/>
          <w:sz w:val="28"/>
          <w:szCs w:val="28"/>
          <w:lang w:val="en-US"/>
        </w:rPr>
        <w:t>265.6 million</w:t>
      </w:r>
      <w:r w:rsidR="002F2894">
        <w:rPr>
          <w:rStyle w:val="tlid-translation"/>
          <w:sz w:val="28"/>
          <w:szCs w:val="28"/>
          <w:lang w:val="en-US"/>
        </w:rPr>
        <w:t xml:space="preserve"> UAH</w:t>
      </w:r>
      <w:r w:rsidRPr="00347FF8">
        <w:rPr>
          <w:rStyle w:val="tlid-translation"/>
          <w:sz w:val="28"/>
          <w:szCs w:val="28"/>
          <w:lang w:val="en-US"/>
        </w:rPr>
        <w:t>), ins</w:t>
      </w:r>
      <w:r w:rsidR="002F2894">
        <w:rPr>
          <w:rStyle w:val="tlid-translation"/>
          <w:sz w:val="28"/>
          <w:szCs w:val="28"/>
          <w:lang w:val="en-US"/>
        </w:rPr>
        <w:t xml:space="preserve">urance of loans (+ 72.5% or </w:t>
      </w:r>
      <w:r w:rsidRPr="00347FF8">
        <w:rPr>
          <w:rStyle w:val="tlid-translation"/>
          <w:sz w:val="28"/>
          <w:szCs w:val="28"/>
          <w:lang w:val="en-US"/>
        </w:rPr>
        <w:t>242.5 million</w:t>
      </w:r>
      <w:r w:rsidR="002F2894">
        <w:rPr>
          <w:rStyle w:val="tlid-translation"/>
          <w:sz w:val="28"/>
          <w:szCs w:val="28"/>
          <w:lang w:val="en-US"/>
        </w:rPr>
        <w:t xml:space="preserve"> UAH</w:t>
      </w:r>
      <w:r w:rsidRPr="00347FF8">
        <w:rPr>
          <w:rStyle w:val="tlid-translation"/>
          <w:sz w:val="28"/>
          <w:szCs w:val="28"/>
          <w:lang w:val="en-US"/>
        </w:rPr>
        <w:t>).</w:t>
      </w:r>
    </w:p>
    <w:p w:rsidR="00F250C0" w:rsidRDefault="00F250C0" w:rsidP="00160E8F">
      <w:pPr>
        <w:ind w:firstLine="709"/>
        <w:jc w:val="both"/>
        <w:rPr>
          <w:sz w:val="28"/>
          <w:szCs w:val="28"/>
          <w:lang w:val="en-US"/>
        </w:rPr>
      </w:pPr>
    </w:p>
    <w:p w:rsidR="00132B0E" w:rsidRDefault="00F250C0" w:rsidP="00F250C0">
      <w:pPr>
        <w:jc w:val="both"/>
        <w:rPr>
          <w:sz w:val="28"/>
          <w:szCs w:val="28"/>
          <w:lang w:val="en-US" w:eastAsia="ko-KR"/>
        </w:rPr>
      </w:pPr>
      <w:r>
        <w:rPr>
          <w:sz w:val="28"/>
          <w:szCs w:val="28"/>
          <w:lang w:val="en-US"/>
        </w:rPr>
        <w:t xml:space="preserve">       </w:t>
      </w:r>
      <w:r w:rsidRPr="00F250C0">
        <w:rPr>
          <w:sz w:val="28"/>
          <w:szCs w:val="28"/>
          <w:lang w:val="uk-UA" w:eastAsia="ko-KR"/>
        </w:rPr>
        <w:t>At the same time, net insurance payments on insurance of financia</w:t>
      </w:r>
      <w:r w:rsidR="002F2894">
        <w:rPr>
          <w:sz w:val="28"/>
          <w:szCs w:val="28"/>
          <w:lang w:val="uk-UA" w:eastAsia="ko-KR"/>
        </w:rPr>
        <w:t xml:space="preserve">l risks decreased (-9.1% or </w:t>
      </w:r>
      <w:r w:rsidRPr="00F250C0">
        <w:rPr>
          <w:sz w:val="28"/>
          <w:szCs w:val="28"/>
          <w:lang w:val="uk-UA" w:eastAsia="ko-KR"/>
        </w:rPr>
        <w:t>165.7 million</w:t>
      </w:r>
      <w:r w:rsidR="002F2894">
        <w:rPr>
          <w:sz w:val="28"/>
          <w:szCs w:val="28"/>
          <w:lang w:val="en-US" w:eastAsia="ko-KR"/>
        </w:rPr>
        <w:t xml:space="preserve"> UAH</w:t>
      </w:r>
      <w:r w:rsidRPr="00F250C0">
        <w:rPr>
          <w:sz w:val="28"/>
          <w:szCs w:val="28"/>
          <w:lang w:val="uk-UA" w:eastAsia="ko-KR"/>
        </w:rPr>
        <w:t xml:space="preserve">).In the structure of insurance premiums, minus the share of insurance premiums paid to resident reinsurers, by types of insurance as of December 31, 2012, the largest share belongs to the following types of insurance: car insurance (CNC insurance, </w:t>
      </w:r>
      <w:r w:rsidR="002F2894">
        <w:rPr>
          <w:sz w:val="28"/>
          <w:szCs w:val="28"/>
          <w:lang w:val="en-US" w:eastAsia="ko-KR"/>
        </w:rPr>
        <w:t>C</w:t>
      </w:r>
      <w:r w:rsidRPr="00F250C0">
        <w:rPr>
          <w:sz w:val="28"/>
          <w:szCs w:val="28"/>
          <w:lang w:val="uk-UA" w:eastAsia="ko-KR"/>
        </w:rPr>
        <w:t>MTPL, Green Card) - 11,720.7 million UAH(</w:t>
      </w:r>
      <w:r w:rsidR="002F2894">
        <w:rPr>
          <w:sz w:val="28"/>
          <w:szCs w:val="28"/>
          <w:lang w:val="uk-UA" w:eastAsia="ko-KR"/>
        </w:rPr>
        <w:t xml:space="preserve">or 34.0%); life insurance - </w:t>
      </w:r>
      <w:r w:rsidRPr="00F250C0">
        <w:rPr>
          <w:sz w:val="28"/>
          <w:szCs w:val="28"/>
          <w:lang w:val="uk-UA" w:eastAsia="ko-KR"/>
        </w:rPr>
        <w:t>3,906.1 million</w:t>
      </w:r>
      <w:r w:rsidR="002F2894">
        <w:rPr>
          <w:sz w:val="28"/>
          <w:szCs w:val="28"/>
          <w:lang w:val="en-US" w:eastAsia="ko-KR"/>
        </w:rPr>
        <w:t xml:space="preserve"> UAH</w:t>
      </w:r>
      <w:r w:rsidRPr="00F250C0">
        <w:rPr>
          <w:sz w:val="28"/>
          <w:szCs w:val="28"/>
          <w:lang w:val="uk-UA" w:eastAsia="ko-KR"/>
        </w:rPr>
        <w:t xml:space="preserve"> (or 11.3%); medical insurance (con</w:t>
      </w:r>
      <w:r w:rsidR="002F2894">
        <w:rPr>
          <w:sz w:val="28"/>
          <w:szCs w:val="28"/>
          <w:lang w:val="uk-UA" w:eastAsia="ko-KR"/>
        </w:rPr>
        <w:t>tinuous health insurance) - 3,243.1 m</w:t>
      </w:r>
      <w:r w:rsidR="002F2894">
        <w:rPr>
          <w:sz w:val="28"/>
          <w:szCs w:val="28"/>
          <w:lang w:val="en-US" w:eastAsia="ko-KR"/>
        </w:rPr>
        <w:t>illion UAH</w:t>
      </w:r>
      <w:r w:rsidRPr="00F250C0">
        <w:rPr>
          <w:sz w:val="28"/>
          <w:szCs w:val="28"/>
          <w:lang w:val="uk-UA" w:eastAsia="ko-KR"/>
        </w:rPr>
        <w:t xml:space="preserve"> (or 9.4%); property </w:t>
      </w:r>
      <w:r w:rsidR="002F2894">
        <w:rPr>
          <w:sz w:val="28"/>
          <w:szCs w:val="28"/>
          <w:lang w:val="uk-UA" w:eastAsia="ko-KR"/>
        </w:rPr>
        <w:t>insurance - 3,222.0 million UAH</w:t>
      </w:r>
      <w:r w:rsidR="002F2894">
        <w:rPr>
          <w:sz w:val="28"/>
          <w:szCs w:val="28"/>
          <w:lang w:val="en-US" w:eastAsia="ko-KR"/>
        </w:rPr>
        <w:t xml:space="preserve"> </w:t>
      </w:r>
      <w:r w:rsidRPr="00F250C0">
        <w:rPr>
          <w:sz w:val="28"/>
          <w:szCs w:val="28"/>
          <w:lang w:val="uk-UA" w:eastAsia="ko-KR"/>
        </w:rPr>
        <w:t xml:space="preserve"> (9.4%); insurance against fire risks and risks of natural disast</w:t>
      </w:r>
      <w:r w:rsidR="002F2894">
        <w:rPr>
          <w:sz w:val="28"/>
          <w:szCs w:val="28"/>
          <w:lang w:val="uk-UA" w:eastAsia="ko-KR"/>
        </w:rPr>
        <w:t>ers - 1,915.6 million</w:t>
      </w:r>
      <w:r w:rsidR="002F2894">
        <w:rPr>
          <w:sz w:val="28"/>
          <w:szCs w:val="28"/>
          <w:lang w:val="en-US" w:eastAsia="ko-KR"/>
        </w:rPr>
        <w:t xml:space="preserve"> UAH</w:t>
      </w:r>
      <w:r w:rsidRPr="00F250C0">
        <w:rPr>
          <w:sz w:val="28"/>
          <w:szCs w:val="28"/>
          <w:lang w:val="uk-UA" w:eastAsia="ko-KR"/>
        </w:rPr>
        <w:t xml:space="preserve"> (or 5.6%); insurance of financ</w:t>
      </w:r>
      <w:r w:rsidR="002F2894">
        <w:rPr>
          <w:sz w:val="28"/>
          <w:szCs w:val="28"/>
          <w:lang w:val="uk-UA" w:eastAsia="ko-KR"/>
        </w:rPr>
        <w:t>ial risks - 1,663.8 million UAH</w:t>
      </w:r>
      <w:r w:rsidRPr="00F250C0">
        <w:rPr>
          <w:sz w:val="28"/>
          <w:szCs w:val="28"/>
          <w:lang w:val="uk-UA" w:eastAsia="ko-KR"/>
        </w:rPr>
        <w:t xml:space="preserve"> (or 4.8%); third </w:t>
      </w:r>
      <w:r w:rsidR="002F2894">
        <w:rPr>
          <w:sz w:val="28"/>
          <w:szCs w:val="28"/>
          <w:lang w:val="uk-UA" w:eastAsia="ko-KR"/>
        </w:rPr>
        <w:t>party liability insurance - 1,659.7 m</w:t>
      </w:r>
      <w:r w:rsidR="002F2894">
        <w:rPr>
          <w:sz w:val="28"/>
          <w:szCs w:val="28"/>
          <w:lang w:val="en-US" w:eastAsia="ko-KR"/>
        </w:rPr>
        <w:t>illion UAH</w:t>
      </w:r>
      <w:r w:rsidRPr="00F250C0">
        <w:rPr>
          <w:sz w:val="28"/>
          <w:szCs w:val="28"/>
          <w:lang w:val="uk-UA" w:eastAsia="ko-KR"/>
        </w:rPr>
        <w:t xml:space="preserve"> (or 4.8%); insurance of cargoes and luggage - 1 479.3 million UAH. (or 4.3%); accident insurance - 1 329,0 million UAH. (or 3.9%).</w:t>
      </w:r>
    </w:p>
    <w:p w:rsidR="004C0D31" w:rsidRDefault="004C0D31" w:rsidP="00F250C0">
      <w:pPr>
        <w:jc w:val="both"/>
        <w:rPr>
          <w:sz w:val="28"/>
          <w:szCs w:val="28"/>
          <w:lang w:val="en-US" w:eastAsia="ko-KR"/>
        </w:rPr>
      </w:pPr>
    </w:p>
    <w:p w:rsidR="004C0D31" w:rsidRPr="004C0D31" w:rsidRDefault="004C0D31" w:rsidP="004C0D31">
      <w:pPr>
        <w:jc w:val="both"/>
        <w:rPr>
          <w:b/>
          <w:sz w:val="28"/>
          <w:szCs w:val="28"/>
          <w:lang w:val="en-US" w:eastAsia="ko-KR"/>
        </w:rPr>
      </w:pPr>
      <w:r w:rsidRPr="004C0D31">
        <w:rPr>
          <w:b/>
          <w:sz w:val="28"/>
          <w:szCs w:val="28"/>
          <w:lang w:val="en-US" w:eastAsia="ko-KR"/>
        </w:rPr>
        <w:t>Insurance claims / indemnity</w:t>
      </w:r>
    </w:p>
    <w:p w:rsidR="004C0D31" w:rsidRPr="004C0D31" w:rsidRDefault="004C0D31" w:rsidP="004C0D31">
      <w:pPr>
        <w:jc w:val="both"/>
        <w:rPr>
          <w:sz w:val="28"/>
          <w:szCs w:val="28"/>
          <w:lang w:val="en-US" w:eastAsia="ko-KR"/>
        </w:rPr>
      </w:pPr>
    </w:p>
    <w:p w:rsidR="004C0D31" w:rsidRPr="004C0D31" w:rsidRDefault="004C0D31" w:rsidP="004C0D31">
      <w:pPr>
        <w:jc w:val="both"/>
        <w:rPr>
          <w:sz w:val="28"/>
          <w:szCs w:val="28"/>
          <w:lang w:val="en-US" w:eastAsia="ko-KR"/>
        </w:rPr>
      </w:pPr>
      <w:r w:rsidRPr="004C0D31">
        <w:rPr>
          <w:sz w:val="28"/>
          <w:szCs w:val="28"/>
          <w:lang w:val="en-US" w:eastAsia="ko-KR"/>
        </w:rPr>
        <w:t xml:space="preserve">The amount of gross insurance premiums for 2018 amounted to 12,863.4 million UAH, including for types of insurance, other than life </w:t>
      </w:r>
      <w:r w:rsidR="002F2894">
        <w:rPr>
          <w:sz w:val="28"/>
          <w:szCs w:val="28"/>
          <w:lang w:val="en-US" w:eastAsia="ko-KR"/>
        </w:rPr>
        <w:t>insurance -12 158.5 million UAH</w:t>
      </w:r>
      <w:r w:rsidRPr="004C0D31">
        <w:rPr>
          <w:sz w:val="28"/>
          <w:szCs w:val="28"/>
          <w:lang w:val="en-US" w:eastAsia="ko-KR"/>
        </w:rPr>
        <w:t xml:space="preserve"> (or 94.5%), from life insurance -</w:t>
      </w:r>
      <w:r w:rsidR="002F2894">
        <w:rPr>
          <w:sz w:val="28"/>
          <w:szCs w:val="28"/>
          <w:lang w:val="en-US" w:eastAsia="ko-KR"/>
        </w:rPr>
        <w:t xml:space="preserve"> 704.9 million UAH </w:t>
      </w:r>
      <w:r w:rsidRPr="004C0D31">
        <w:rPr>
          <w:sz w:val="28"/>
          <w:szCs w:val="28"/>
          <w:lang w:val="en-US" w:eastAsia="ko-KR"/>
        </w:rPr>
        <w:t xml:space="preserve">(or 5.5%). </w:t>
      </w:r>
    </w:p>
    <w:p w:rsidR="004C0D31" w:rsidRPr="004C0D31" w:rsidRDefault="004C0D31" w:rsidP="004C0D31">
      <w:pPr>
        <w:jc w:val="both"/>
        <w:rPr>
          <w:sz w:val="28"/>
          <w:szCs w:val="28"/>
          <w:lang w:val="en-US" w:eastAsia="ko-KR"/>
        </w:rPr>
      </w:pPr>
      <w:r w:rsidRPr="004C0D31">
        <w:rPr>
          <w:sz w:val="28"/>
          <w:szCs w:val="28"/>
          <w:lang w:val="en-US" w:eastAsia="ko-KR"/>
        </w:rPr>
        <w:t>Gross insurance payments for 20</w:t>
      </w:r>
      <w:r w:rsidR="002F2894">
        <w:rPr>
          <w:sz w:val="28"/>
          <w:szCs w:val="28"/>
          <w:lang w:val="en-US" w:eastAsia="ko-KR"/>
        </w:rPr>
        <w:t xml:space="preserve">18 increased by 22.1% (up to </w:t>
      </w:r>
      <w:r w:rsidRPr="004C0D31">
        <w:rPr>
          <w:sz w:val="28"/>
          <w:szCs w:val="28"/>
          <w:lang w:val="en-US" w:eastAsia="ko-KR"/>
        </w:rPr>
        <w:t>12,863.4 million</w:t>
      </w:r>
      <w:r w:rsidR="002F2894">
        <w:rPr>
          <w:sz w:val="28"/>
          <w:szCs w:val="28"/>
          <w:lang w:val="en-US" w:eastAsia="ko-KR"/>
        </w:rPr>
        <w:t xml:space="preserve"> UAH</w:t>
      </w:r>
      <w:r w:rsidRPr="004C0D31">
        <w:rPr>
          <w:sz w:val="28"/>
          <w:szCs w:val="28"/>
          <w:lang w:val="en-US" w:eastAsia="ko-KR"/>
        </w:rPr>
        <w:t>) compared to the same period in 2017, net insurance payments increas</w:t>
      </w:r>
      <w:r w:rsidR="002F2894">
        <w:rPr>
          <w:sz w:val="28"/>
          <w:szCs w:val="28"/>
          <w:lang w:val="en-US" w:eastAsia="ko-KR"/>
        </w:rPr>
        <w:t xml:space="preserve">ed by 21.2% and amounted to </w:t>
      </w:r>
      <w:r w:rsidRPr="004C0D31">
        <w:rPr>
          <w:sz w:val="28"/>
          <w:szCs w:val="28"/>
          <w:lang w:val="en-US" w:eastAsia="ko-KR"/>
        </w:rPr>
        <w:t>12 432.6 million</w:t>
      </w:r>
      <w:r w:rsidR="002F2894">
        <w:rPr>
          <w:sz w:val="28"/>
          <w:szCs w:val="28"/>
          <w:lang w:val="en-US" w:eastAsia="ko-KR"/>
        </w:rPr>
        <w:t xml:space="preserve"> UAH</w:t>
      </w:r>
      <w:r w:rsidRPr="004C0D31">
        <w:rPr>
          <w:sz w:val="28"/>
          <w:szCs w:val="28"/>
          <w:lang w:val="en-US" w:eastAsia="ko-KR"/>
        </w:rPr>
        <w:t xml:space="preserve">. Insurance payments by type of insurance for 2017-2018 (volumes, structure and rates of growth) are presented in Table </w:t>
      </w:r>
      <w:r w:rsidR="00911B49">
        <w:rPr>
          <w:sz w:val="28"/>
          <w:szCs w:val="28"/>
          <w:lang w:val="uk-UA" w:eastAsia="ko-KR"/>
        </w:rPr>
        <w:t>7</w:t>
      </w:r>
      <w:r w:rsidRPr="004C0D31">
        <w:rPr>
          <w:sz w:val="28"/>
          <w:szCs w:val="28"/>
          <w:lang w:val="en-US" w:eastAsia="ko-KR"/>
        </w:rPr>
        <w:t>.</w:t>
      </w:r>
    </w:p>
    <w:p w:rsidR="002F2894" w:rsidRDefault="002F2894" w:rsidP="004C0D31">
      <w:pPr>
        <w:jc w:val="both"/>
        <w:rPr>
          <w:sz w:val="28"/>
          <w:szCs w:val="28"/>
          <w:lang w:val="en-US" w:eastAsia="ko-KR"/>
        </w:rPr>
      </w:pPr>
    </w:p>
    <w:p w:rsidR="004C0D31" w:rsidRPr="004C0D31" w:rsidRDefault="004C0D31" w:rsidP="004C0D31">
      <w:pPr>
        <w:jc w:val="both"/>
        <w:rPr>
          <w:sz w:val="28"/>
          <w:szCs w:val="28"/>
          <w:lang w:val="en-US" w:eastAsia="ko-KR"/>
        </w:rPr>
      </w:pPr>
      <w:r w:rsidRPr="004C0D31">
        <w:rPr>
          <w:sz w:val="28"/>
          <w:szCs w:val="28"/>
          <w:lang w:val="en-US" w:eastAsia="ko-KR"/>
        </w:rPr>
        <w:t>The structure of gross and net insurance payments for 2</w:t>
      </w:r>
      <w:r w:rsidR="00F700F2">
        <w:rPr>
          <w:sz w:val="28"/>
          <w:szCs w:val="28"/>
          <w:lang w:val="en-US" w:eastAsia="ko-KR"/>
        </w:rPr>
        <w:t>017-2018 is presented in Table 6</w:t>
      </w:r>
      <w:r w:rsidRPr="004C0D31">
        <w:rPr>
          <w:sz w:val="28"/>
          <w:szCs w:val="28"/>
          <w:lang w:val="en-US" w:eastAsia="ko-KR"/>
        </w:rPr>
        <w:t>.</w:t>
      </w:r>
    </w:p>
    <w:p w:rsidR="00F250C0" w:rsidRDefault="00F250C0" w:rsidP="00852FED">
      <w:pPr>
        <w:spacing w:line="360" w:lineRule="auto"/>
        <w:ind w:firstLine="709"/>
        <w:jc w:val="both"/>
        <w:rPr>
          <w:b/>
          <w:sz w:val="28"/>
          <w:szCs w:val="28"/>
          <w:lang w:val="en-US"/>
        </w:rPr>
      </w:pPr>
    </w:p>
    <w:p w:rsidR="00132B0E" w:rsidRPr="00F700F2" w:rsidRDefault="004C0D31" w:rsidP="007D1F77">
      <w:pPr>
        <w:ind w:firstLine="720"/>
        <w:jc w:val="right"/>
        <w:rPr>
          <w:rFonts w:ascii="TimesNewRomanPS-ItalicMT" w:hAnsi="TimesNewRomanPS-ItalicMT" w:cs="TimesNewRomanPS-ItalicMT"/>
          <w:i/>
          <w:iCs/>
          <w:lang w:val="en-US"/>
        </w:rPr>
      </w:pPr>
      <w:r>
        <w:rPr>
          <w:rFonts w:ascii="TimesNewRomanPS-ItalicMT" w:hAnsi="TimesNewRomanPS-ItalicMT" w:cs="TimesNewRomanPS-ItalicMT"/>
          <w:i/>
          <w:iCs/>
          <w:lang w:val="en-US"/>
        </w:rPr>
        <w:t>Table</w:t>
      </w:r>
      <w:r w:rsidR="00F700F2">
        <w:rPr>
          <w:rFonts w:ascii="TimesNewRomanPS-ItalicMT" w:hAnsi="TimesNewRomanPS-ItalicMT" w:cs="TimesNewRomanPS-ItalicMT"/>
          <w:i/>
          <w:iCs/>
          <w:lang w:val="uk-UA"/>
        </w:rPr>
        <w:t xml:space="preserve"> </w:t>
      </w:r>
      <w:r w:rsidR="00F700F2">
        <w:rPr>
          <w:rFonts w:ascii="TimesNewRomanPS-ItalicMT" w:hAnsi="TimesNewRomanPS-ItalicMT" w:cs="TimesNewRomanPS-ItalicMT"/>
          <w:i/>
          <w:iCs/>
          <w:lang w:val="en-US"/>
        </w:rPr>
        <w:t>6</w:t>
      </w:r>
    </w:p>
    <w:p w:rsidR="00132B0E" w:rsidRPr="0072251B" w:rsidRDefault="00132B0E" w:rsidP="00774063">
      <w:pPr>
        <w:tabs>
          <w:tab w:val="center" w:pos="7285"/>
          <w:tab w:val="left" w:pos="13770"/>
        </w:tabs>
        <w:autoSpaceDE w:val="0"/>
        <w:autoSpaceDN w:val="0"/>
        <w:adjustRightInd w:val="0"/>
        <w:rPr>
          <w:sz w:val="20"/>
          <w:szCs w:val="20"/>
          <w:lang w:val="uk-UA"/>
        </w:rPr>
      </w:pPr>
      <w:r w:rsidRPr="0072251B">
        <w:rPr>
          <w:b/>
          <w:bCs/>
          <w:lang w:val="uk-UA"/>
        </w:rPr>
        <w:tab/>
      </w:r>
      <w:r w:rsidR="001F1962" w:rsidRPr="001F1962">
        <w:rPr>
          <w:b/>
          <w:bCs/>
          <w:lang w:val="uk-UA"/>
        </w:rPr>
        <w:t>Insurance payments by type of insurance for 2017-2018 (volumes, structure and rates of growth)</w:t>
      </w:r>
      <w:r w:rsidRPr="0072251B">
        <w:rPr>
          <w:b/>
          <w:bCs/>
          <w:lang w:val="uk-UA"/>
        </w:rPr>
        <w:tab/>
      </w:r>
    </w:p>
    <w:tbl>
      <w:tblPr>
        <w:tblW w:w="10060" w:type="dxa"/>
        <w:tblLook w:val="0000" w:firstRow="0" w:lastRow="0" w:firstColumn="0" w:lastColumn="0" w:noHBand="0" w:noVBand="0"/>
      </w:tblPr>
      <w:tblGrid>
        <w:gridCol w:w="4106"/>
        <w:gridCol w:w="992"/>
        <w:gridCol w:w="993"/>
        <w:gridCol w:w="992"/>
        <w:gridCol w:w="992"/>
        <w:gridCol w:w="1039"/>
        <w:gridCol w:w="1039"/>
      </w:tblGrid>
      <w:tr w:rsidR="0061273B" w:rsidRPr="00911B49" w:rsidTr="0061273B">
        <w:trPr>
          <w:trHeight w:val="338"/>
        </w:trPr>
        <w:tc>
          <w:tcPr>
            <w:tcW w:w="4106" w:type="dxa"/>
            <w:vMerge w:val="restart"/>
            <w:tcBorders>
              <w:top w:val="single" w:sz="4" w:space="0" w:color="auto"/>
              <w:left w:val="single" w:sz="4" w:space="0" w:color="auto"/>
              <w:bottom w:val="single" w:sz="4" w:space="0" w:color="000000"/>
              <w:right w:val="single" w:sz="4" w:space="0" w:color="auto"/>
            </w:tcBorders>
            <w:vAlign w:val="center"/>
          </w:tcPr>
          <w:p w:rsidR="0061273B" w:rsidRPr="001F1962" w:rsidRDefault="001F1962" w:rsidP="006B6D8E">
            <w:pPr>
              <w:jc w:val="center"/>
              <w:rPr>
                <w:rFonts w:cs="Arial"/>
                <w:b/>
                <w:bCs/>
                <w:sz w:val="20"/>
                <w:szCs w:val="20"/>
                <w:lang w:val="en-US"/>
              </w:rPr>
            </w:pPr>
            <w:r>
              <w:rPr>
                <w:rFonts w:cs="Arial"/>
                <w:b/>
                <w:bCs/>
                <w:sz w:val="20"/>
                <w:szCs w:val="20"/>
                <w:lang w:val="en-US"/>
              </w:rPr>
              <w:t>Types of insurance</w:t>
            </w:r>
          </w:p>
        </w:tc>
        <w:tc>
          <w:tcPr>
            <w:tcW w:w="3969" w:type="dxa"/>
            <w:gridSpan w:val="4"/>
            <w:tcBorders>
              <w:top w:val="single" w:sz="4" w:space="0" w:color="auto"/>
              <w:left w:val="nil"/>
              <w:bottom w:val="single" w:sz="4" w:space="0" w:color="auto"/>
              <w:right w:val="nil"/>
            </w:tcBorders>
            <w:noWrap/>
            <w:vAlign w:val="center"/>
          </w:tcPr>
          <w:p w:rsidR="0061273B" w:rsidRPr="0072251B" w:rsidRDefault="001F1962" w:rsidP="006B6D8E">
            <w:pPr>
              <w:jc w:val="center"/>
              <w:rPr>
                <w:rFonts w:cs="Arial"/>
                <w:b/>
                <w:bCs/>
                <w:sz w:val="20"/>
                <w:szCs w:val="20"/>
                <w:lang w:val="uk-UA"/>
              </w:rPr>
            </w:pPr>
            <w:r w:rsidRPr="001F1962">
              <w:rPr>
                <w:rFonts w:cs="Arial"/>
                <w:b/>
                <w:bCs/>
                <w:sz w:val="20"/>
                <w:szCs w:val="20"/>
                <w:lang w:val="uk-UA"/>
              </w:rPr>
              <w:t>Insurance payments, UAH million</w:t>
            </w:r>
          </w:p>
        </w:tc>
        <w:tc>
          <w:tcPr>
            <w:tcW w:w="1985" w:type="dxa"/>
            <w:gridSpan w:val="2"/>
            <w:tcBorders>
              <w:top w:val="single" w:sz="4" w:space="0" w:color="auto"/>
              <w:left w:val="single" w:sz="4" w:space="0" w:color="auto"/>
              <w:bottom w:val="single" w:sz="4" w:space="0" w:color="auto"/>
              <w:right w:val="single" w:sz="4" w:space="0" w:color="000000"/>
            </w:tcBorders>
            <w:vAlign w:val="center"/>
          </w:tcPr>
          <w:p w:rsidR="0061273B" w:rsidRPr="0072251B" w:rsidRDefault="001F1962" w:rsidP="006B6D8E">
            <w:pPr>
              <w:jc w:val="center"/>
              <w:rPr>
                <w:rFonts w:cs="Arial"/>
                <w:b/>
                <w:bCs/>
                <w:sz w:val="20"/>
                <w:szCs w:val="20"/>
                <w:lang w:val="uk-UA"/>
              </w:rPr>
            </w:pPr>
            <w:r w:rsidRPr="001F1962">
              <w:rPr>
                <w:rFonts w:cs="Arial"/>
                <w:b/>
                <w:bCs/>
                <w:sz w:val="20"/>
                <w:szCs w:val="20"/>
                <w:lang w:val="uk-UA"/>
              </w:rPr>
              <w:t>Growth rates of insurance payments</w:t>
            </w:r>
          </w:p>
        </w:tc>
      </w:tr>
      <w:tr w:rsidR="0061273B" w:rsidRPr="0072251B" w:rsidTr="0061273B">
        <w:trPr>
          <w:trHeight w:val="439"/>
        </w:trPr>
        <w:tc>
          <w:tcPr>
            <w:tcW w:w="4106" w:type="dxa"/>
            <w:vMerge/>
            <w:tcBorders>
              <w:top w:val="single" w:sz="4" w:space="0" w:color="auto"/>
              <w:left w:val="single" w:sz="4" w:space="0" w:color="auto"/>
              <w:bottom w:val="single" w:sz="4" w:space="0" w:color="000000"/>
              <w:right w:val="single" w:sz="4" w:space="0" w:color="auto"/>
            </w:tcBorders>
            <w:vAlign w:val="center"/>
          </w:tcPr>
          <w:p w:rsidR="0061273B" w:rsidRPr="0072251B" w:rsidRDefault="0061273B" w:rsidP="006B6D8E">
            <w:pPr>
              <w:rPr>
                <w:rFonts w:cs="Arial"/>
                <w:b/>
                <w:bCs/>
                <w:sz w:val="20"/>
                <w:szCs w:val="20"/>
                <w:lang w:val="uk-UA"/>
              </w:rPr>
            </w:pPr>
          </w:p>
        </w:tc>
        <w:tc>
          <w:tcPr>
            <w:tcW w:w="1985" w:type="dxa"/>
            <w:gridSpan w:val="2"/>
            <w:tcBorders>
              <w:top w:val="single" w:sz="4" w:space="0" w:color="auto"/>
              <w:left w:val="nil"/>
              <w:bottom w:val="single" w:sz="4" w:space="0" w:color="auto"/>
              <w:right w:val="single" w:sz="4" w:space="0" w:color="auto"/>
            </w:tcBorders>
            <w:noWrap/>
            <w:vAlign w:val="center"/>
          </w:tcPr>
          <w:p w:rsidR="0061273B" w:rsidRPr="0072251B" w:rsidRDefault="001F1962" w:rsidP="006B6D8E">
            <w:pPr>
              <w:jc w:val="center"/>
              <w:rPr>
                <w:rFonts w:cs="Arial"/>
                <w:b/>
                <w:bCs/>
                <w:sz w:val="20"/>
                <w:szCs w:val="20"/>
                <w:lang w:val="uk-UA"/>
              </w:rPr>
            </w:pPr>
            <w:r>
              <w:rPr>
                <w:rFonts w:cs="Arial"/>
                <w:b/>
                <w:bCs/>
                <w:sz w:val="20"/>
                <w:szCs w:val="20"/>
                <w:lang w:val="en-US"/>
              </w:rPr>
              <w:t>Gross</w:t>
            </w:r>
            <w:r w:rsidR="0061273B" w:rsidRPr="0072251B">
              <w:rPr>
                <w:rFonts w:cs="Arial"/>
                <w:b/>
                <w:bCs/>
                <w:sz w:val="20"/>
                <w:szCs w:val="20"/>
                <w:lang w:val="uk-UA"/>
              </w:rPr>
              <w:t xml:space="preserve"> </w:t>
            </w:r>
          </w:p>
        </w:tc>
        <w:tc>
          <w:tcPr>
            <w:tcW w:w="1984" w:type="dxa"/>
            <w:gridSpan w:val="2"/>
            <w:tcBorders>
              <w:top w:val="single" w:sz="4" w:space="0" w:color="auto"/>
              <w:left w:val="single" w:sz="4" w:space="0" w:color="auto"/>
              <w:bottom w:val="single" w:sz="4" w:space="0" w:color="auto"/>
              <w:right w:val="single" w:sz="4" w:space="0" w:color="auto"/>
            </w:tcBorders>
            <w:noWrap/>
            <w:vAlign w:val="center"/>
          </w:tcPr>
          <w:p w:rsidR="0061273B" w:rsidRPr="001F1962" w:rsidRDefault="001F1962" w:rsidP="006B6D8E">
            <w:pPr>
              <w:jc w:val="center"/>
              <w:rPr>
                <w:rFonts w:cs="Arial"/>
                <w:b/>
                <w:bCs/>
                <w:sz w:val="20"/>
                <w:szCs w:val="20"/>
                <w:lang w:val="en-US"/>
              </w:rPr>
            </w:pPr>
            <w:r>
              <w:rPr>
                <w:rFonts w:cs="Arial"/>
                <w:b/>
                <w:bCs/>
                <w:sz w:val="20"/>
                <w:szCs w:val="20"/>
                <w:lang w:val="en-US"/>
              </w:rPr>
              <w:t>Net</w:t>
            </w:r>
          </w:p>
        </w:tc>
        <w:tc>
          <w:tcPr>
            <w:tcW w:w="992" w:type="dxa"/>
            <w:tcBorders>
              <w:top w:val="single" w:sz="4" w:space="0" w:color="auto"/>
              <w:left w:val="single" w:sz="4" w:space="0" w:color="auto"/>
              <w:bottom w:val="single" w:sz="4" w:space="0" w:color="auto"/>
              <w:right w:val="single" w:sz="4" w:space="0" w:color="auto"/>
            </w:tcBorders>
            <w:vAlign w:val="center"/>
          </w:tcPr>
          <w:p w:rsidR="0061273B" w:rsidRPr="001F1962" w:rsidRDefault="001F1962" w:rsidP="006B6D8E">
            <w:pPr>
              <w:jc w:val="center"/>
              <w:rPr>
                <w:b/>
                <w:bCs/>
                <w:sz w:val="20"/>
                <w:szCs w:val="20"/>
                <w:lang w:val="en-US"/>
              </w:rPr>
            </w:pPr>
            <w:r>
              <w:rPr>
                <w:b/>
                <w:bCs/>
                <w:sz w:val="20"/>
                <w:szCs w:val="20"/>
                <w:lang w:val="en-US"/>
              </w:rPr>
              <w:t>Gross payments</w:t>
            </w:r>
          </w:p>
        </w:tc>
        <w:tc>
          <w:tcPr>
            <w:tcW w:w="993" w:type="dxa"/>
            <w:tcBorders>
              <w:top w:val="single" w:sz="4" w:space="0" w:color="auto"/>
              <w:left w:val="nil"/>
              <w:bottom w:val="single" w:sz="4" w:space="0" w:color="auto"/>
              <w:right w:val="single" w:sz="4" w:space="0" w:color="auto"/>
            </w:tcBorders>
            <w:vAlign w:val="center"/>
          </w:tcPr>
          <w:p w:rsidR="0061273B" w:rsidRPr="001F1962" w:rsidRDefault="001F1962" w:rsidP="006B6D8E">
            <w:pPr>
              <w:jc w:val="center"/>
              <w:rPr>
                <w:b/>
                <w:bCs/>
                <w:sz w:val="20"/>
                <w:szCs w:val="20"/>
                <w:lang w:val="en-US"/>
              </w:rPr>
            </w:pPr>
            <w:r>
              <w:rPr>
                <w:b/>
                <w:bCs/>
                <w:sz w:val="20"/>
                <w:szCs w:val="20"/>
                <w:lang w:val="en-US"/>
              </w:rPr>
              <w:t>Net payments</w:t>
            </w:r>
          </w:p>
        </w:tc>
      </w:tr>
      <w:tr w:rsidR="0061273B" w:rsidRPr="0072251B" w:rsidTr="0061273B">
        <w:trPr>
          <w:trHeight w:val="303"/>
        </w:trPr>
        <w:tc>
          <w:tcPr>
            <w:tcW w:w="4106" w:type="dxa"/>
            <w:vMerge/>
            <w:tcBorders>
              <w:top w:val="single" w:sz="4" w:space="0" w:color="auto"/>
              <w:left w:val="single" w:sz="4" w:space="0" w:color="auto"/>
              <w:bottom w:val="single" w:sz="4" w:space="0" w:color="000000"/>
              <w:right w:val="single" w:sz="4" w:space="0" w:color="auto"/>
            </w:tcBorders>
            <w:vAlign w:val="center"/>
          </w:tcPr>
          <w:p w:rsidR="0061273B" w:rsidRPr="0072251B" w:rsidRDefault="0061273B" w:rsidP="006B6D8E">
            <w:pPr>
              <w:rPr>
                <w:rFonts w:cs="Arial"/>
                <w:b/>
                <w:bCs/>
                <w:sz w:val="20"/>
                <w:szCs w:val="20"/>
                <w:lang w:val="uk-UA"/>
              </w:rPr>
            </w:pPr>
          </w:p>
        </w:tc>
        <w:tc>
          <w:tcPr>
            <w:tcW w:w="992" w:type="dxa"/>
            <w:tcBorders>
              <w:top w:val="nil"/>
              <w:left w:val="nil"/>
              <w:bottom w:val="single" w:sz="4" w:space="0" w:color="auto"/>
              <w:right w:val="single" w:sz="4" w:space="0" w:color="auto"/>
            </w:tcBorders>
            <w:vAlign w:val="bottom"/>
          </w:tcPr>
          <w:p w:rsidR="0061273B" w:rsidRPr="0072251B" w:rsidRDefault="0061273B" w:rsidP="0094599B">
            <w:pPr>
              <w:ind w:left="-108"/>
              <w:jc w:val="center"/>
              <w:rPr>
                <w:b/>
                <w:bCs/>
                <w:sz w:val="20"/>
                <w:szCs w:val="20"/>
                <w:lang w:val="uk-UA"/>
              </w:rPr>
            </w:pPr>
            <w:r w:rsidRPr="0072251B">
              <w:rPr>
                <w:b/>
                <w:bCs/>
                <w:sz w:val="20"/>
                <w:szCs w:val="20"/>
                <w:lang w:val="uk-UA"/>
              </w:rPr>
              <w:t>2017</w:t>
            </w:r>
          </w:p>
        </w:tc>
        <w:tc>
          <w:tcPr>
            <w:tcW w:w="993" w:type="dxa"/>
            <w:tcBorders>
              <w:top w:val="nil"/>
              <w:left w:val="nil"/>
              <w:bottom w:val="single" w:sz="4" w:space="0" w:color="auto"/>
              <w:right w:val="single" w:sz="4" w:space="0" w:color="auto"/>
            </w:tcBorders>
            <w:vAlign w:val="bottom"/>
          </w:tcPr>
          <w:p w:rsidR="0061273B" w:rsidRPr="0072251B" w:rsidRDefault="0061273B" w:rsidP="0094599B">
            <w:pPr>
              <w:ind w:left="-108"/>
              <w:jc w:val="center"/>
              <w:rPr>
                <w:b/>
                <w:bCs/>
                <w:sz w:val="20"/>
                <w:szCs w:val="20"/>
                <w:lang w:val="uk-UA"/>
              </w:rPr>
            </w:pPr>
            <w:r w:rsidRPr="0072251B">
              <w:rPr>
                <w:b/>
                <w:bCs/>
                <w:sz w:val="20"/>
                <w:szCs w:val="20"/>
                <w:lang w:val="uk-UA"/>
              </w:rPr>
              <w:t>2018</w:t>
            </w:r>
          </w:p>
        </w:tc>
        <w:tc>
          <w:tcPr>
            <w:tcW w:w="992" w:type="dxa"/>
            <w:tcBorders>
              <w:top w:val="nil"/>
              <w:left w:val="single" w:sz="4" w:space="0" w:color="auto"/>
              <w:bottom w:val="single" w:sz="4" w:space="0" w:color="auto"/>
              <w:right w:val="single" w:sz="4" w:space="0" w:color="auto"/>
            </w:tcBorders>
            <w:vAlign w:val="bottom"/>
          </w:tcPr>
          <w:p w:rsidR="0061273B" w:rsidRPr="0072251B" w:rsidRDefault="0061273B" w:rsidP="000F5605">
            <w:pPr>
              <w:ind w:left="-108"/>
              <w:jc w:val="center"/>
              <w:rPr>
                <w:b/>
                <w:bCs/>
                <w:sz w:val="20"/>
                <w:szCs w:val="20"/>
                <w:lang w:val="uk-UA"/>
              </w:rPr>
            </w:pPr>
            <w:r w:rsidRPr="0072251B">
              <w:rPr>
                <w:b/>
                <w:bCs/>
                <w:sz w:val="20"/>
                <w:szCs w:val="20"/>
                <w:lang w:val="uk-UA"/>
              </w:rPr>
              <w:t>2017</w:t>
            </w:r>
          </w:p>
        </w:tc>
        <w:tc>
          <w:tcPr>
            <w:tcW w:w="992" w:type="dxa"/>
            <w:tcBorders>
              <w:top w:val="nil"/>
              <w:left w:val="nil"/>
              <w:bottom w:val="single" w:sz="4" w:space="0" w:color="auto"/>
              <w:right w:val="single" w:sz="4" w:space="0" w:color="auto"/>
            </w:tcBorders>
            <w:vAlign w:val="bottom"/>
          </w:tcPr>
          <w:p w:rsidR="0061273B" w:rsidRPr="0072251B" w:rsidRDefault="0061273B" w:rsidP="000F5605">
            <w:pPr>
              <w:ind w:left="-108"/>
              <w:jc w:val="center"/>
              <w:rPr>
                <w:b/>
                <w:bCs/>
                <w:sz w:val="20"/>
                <w:szCs w:val="20"/>
                <w:lang w:val="uk-UA"/>
              </w:rPr>
            </w:pPr>
            <w:r w:rsidRPr="0072251B">
              <w:rPr>
                <w:b/>
                <w:bCs/>
                <w:sz w:val="20"/>
                <w:szCs w:val="20"/>
                <w:lang w:val="uk-UA"/>
              </w:rPr>
              <w:t>2018</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1273B" w:rsidRPr="0072251B" w:rsidRDefault="0061273B" w:rsidP="00A95289">
            <w:pPr>
              <w:jc w:val="center"/>
              <w:rPr>
                <w:b/>
                <w:bCs/>
                <w:sz w:val="20"/>
                <w:szCs w:val="20"/>
                <w:lang w:val="uk-UA"/>
              </w:rPr>
            </w:pPr>
            <w:r w:rsidRPr="0072251B">
              <w:rPr>
                <w:b/>
                <w:bCs/>
                <w:sz w:val="20"/>
                <w:szCs w:val="20"/>
                <w:lang w:val="uk-UA"/>
              </w:rPr>
              <w:t>2018/2017</w:t>
            </w:r>
          </w:p>
        </w:tc>
      </w:tr>
      <w:tr w:rsidR="0061273B" w:rsidRPr="0072251B" w:rsidTr="0061273B">
        <w:trPr>
          <w:trHeight w:val="288"/>
        </w:trPr>
        <w:tc>
          <w:tcPr>
            <w:tcW w:w="4106" w:type="dxa"/>
            <w:tcBorders>
              <w:top w:val="nil"/>
              <w:left w:val="single" w:sz="4" w:space="0" w:color="auto"/>
              <w:bottom w:val="single" w:sz="4" w:space="0" w:color="auto"/>
              <w:right w:val="single" w:sz="4" w:space="0" w:color="auto"/>
            </w:tcBorders>
            <w:shd w:val="clear" w:color="auto" w:fill="C0C0C0"/>
            <w:noWrap/>
            <w:vAlign w:val="bottom"/>
          </w:tcPr>
          <w:p w:rsidR="0061273B" w:rsidRPr="0072251B" w:rsidRDefault="0061273B" w:rsidP="006B6D8E">
            <w:pPr>
              <w:jc w:val="center"/>
              <w:rPr>
                <w:b/>
                <w:bCs/>
                <w:sz w:val="20"/>
                <w:szCs w:val="20"/>
                <w:lang w:val="uk-UA"/>
              </w:rPr>
            </w:pPr>
            <w:r w:rsidRPr="0072251B">
              <w:rPr>
                <w:b/>
                <w:bCs/>
                <w:sz w:val="20"/>
                <w:szCs w:val="20"/>
                <w:lang w:val="uk-UA"/>
              </w:rPr>
              <w:t>1</w:t>
            </w:r>
          </w:p>
        </w:tc>
        <w:tc>
          <w:tcPr>
            <w:tcW w:w="992" w:type="dxa"/>
            <w:tcBorders>
              <w:top w:val="nil"/>
              <w:left w:val="nil"/>
              <w:bottom w:val="single" w:sz="4" w:space="0" w:color="auto"/>
              <w:right w:val="single" w:sz="4" w:space="0" w:color="auto"/>
            </w:tcBorders>
            <w:shd w:val="clear" w:color="auto" w:fill="C0C0C0"/>
            <w:noWrap/>
            <w:vAlign w:val="bottom"/>
          </w:tcPr>
          <w:p w:rsidR="0061273B" w:rsidRPr="0072251B" w:rsidRDefault="0061273B" w:rsidP="006B6D8E">
            <w:pPr>
              <w:jc w:val="center"/>
              <w:rPr>
                <w:b/>
                <w:bCs/>
                <w:sz w:val="20"/>
                <w:szCs w:val="20"/>
                <w:lang w:val="uk-UA"/>
              </w:rPr>
            </w:pPr>
            <w:r w:rsidRPr="0072251B">
              <w:rPr>
                <w:b/>
                <w:bCs/>
                <w:sz w:val="20"/>
                <w:szCs w:val="20"/>
                <w:lang w:val="uk-UA"/>
              </w:rPr>
              <w:t>2</w:t>
            </w:r>
          </w:p>
        </w:tc>
        <w:tc>
          <w:tcPr>
            <w:tcW w:w="993" w:type="dxa"/>
            <w:tcBorders>
              <w:top w:val="nil"/>
              <w:left w:val="nil"/>
              <w:bottom w:val="single" w:sz="4" w:space="0" w:color="auto"/>
              <w:right w:val="single" w:sz="4" w:space="0" w:color="auto"/>
            </w:tcBorders>
            <w:shd w:val="clear" w:color="auto" w:fill="C0C0C0"/>
            <w:noWrap/>
            <w:vAlign w:val="bottom"/>
          </w:tcPr>
          <w:p w:rsidR="0061273B" w:rsidRPr="0072251B" w:rsidRDefault="0061273B" w:rsidP="006B6D8E">
            <w:pPr>
              <w:jc w:val="center"/>
              <w:rPr>
                <w:b/>
                <w:bCs/>
                <w:sz w:val="20"/>
                <w:szCs w:val="20"/>
                <w:lang w:val="uk-UA"/>
              </w:rPr>
            </w:pPr>
            <w:r w:rsidRPr="0072251B">
              <w:rPr>
                <w:b/>
                <w:bCs/>
                <w:sz w:val="20"/>
                <w:szCs w:val="20"/>
                <w:lang w:val="uk-UA"/>
              </w:rPr>
              <w:t>3</w:t>
            </w:r>
          </w:p>
        </w:tc>
        <w:tc>
          <w:tcPr>
            <w:tcW w:w="992" w:type="dxa"/>
            <w:tcBorders>
              <w:top w:val="nil"/>
              <w:left w:val="single" w:sz="4" w:space="0" w:color="auto"/>
              <w:bottom w:val="single" w:sz="4" w:space="0" w:color="auto"/>
              <w:right w:val="single" w:sz="4" w:space="0" w:color="auto"/>
            </w:tcBorders>
            <w:shd w:val="clear" w:color="auto" w:fill="C0C0C0"/>
            <w:noWrap/>
            <w:vAlign w:val="bottom"/>
          </w:tcPr>
          <w:p w:rsidR="0061273B" w:rsidRPr="0072251B" w:rsidRDefault="0061273B" w:rsidP="006B6D8E">
            <w:pPr>
              <w:jc w:val="center"/>
              <w:rPr>
                <w:b/>
                <w:bCs/>
                <w:sz w:val="20"/>
                <w:szCs w:val="20"/>
                <w:lang w:val="uk-UA"/>
              </w:rPr>
            </w:pPr>
            <w:r w:rsidRPr="0072251B">
              <w:rPr>
                <w:b/>
                <w:bCs/>
                <w:sz w:val="20"/>
                <w:szCs w:val="20"/>
                <w:lang w:val="uk-UA"/>
              </w:rPr>
              <w:t>4</w:t>
            </w:r>
          </w:p>
        </w:tc>
        <w:tc>
          <w:tcPr>
            <w:tcW w:w="992" w:type="dxa"/>
            <w:tcBorders>
              <w:top w:val="nil"/>
              <w:left w:val="nil"/>
              <w:bottom w:val="single" w:sz="4" w:space="0" w:color="auto"/>
              <w:right w:val="single" w:sz="4" w:space="0" w:color="auto"/>
            </w:tcBorders>
            <w:shd w:val="clear" w:color="auto" w:fill="C0C0C0"/>
            <w:noWrap/>
            <w:vAlign w:val="bottom"/>
          </w:tcPr>
          <w:p w:rsidR="0061273B" w:rsidRPr="0072251B" w:rsidRDefault="0061273B" w:rsidP="006B6D8E">
            <w:pPr>
              <w:jc w:val="center"/>
              <w:rPr>
                <w:b/>
                <w:bCs/>
                <w:sz w:val="20"/>
                <w:szCs w:val="20"/>
                <w:lang w:val="uk-UA"/>
              </w:rPr>
            </w:pPr>
            <w:r w:rsidRPr="0072251B">
              <w:rPr>
                <w:b/>
                <w:bCs/>
                <w:sz w:val="20"/>
                <w:szCs w:val="20"/>
                <w:lang w:val="uk-UA"/>
              </w:rPr>
              <w:t>5</w:t>
            </w:r>
          </w:p>
        </w:tc>
        <w:tc>
          <w:tcPr>
            <w:tcW w:w="992" w:type="dxa"/>
            <w:tcBorders>
              <w:top w:val="nil"/>
              <w:left w:val="single" w:sz="4" w:space="0" w:color="auto"/>
              <w:bottom w:val="single" w:sz="4" w:space="0" w:color="auto"/>
              <w:right w:val="single" w:sz="4" w:space="0" w:color="auto"/>
            </w:tcBorders>
            <w:shd w:val="clear" w:color="auto" w:fill="C0C0C0"/>
            <w:noWrap/>
            <w:vAlign w:val="bottom"/>
          </w:tcPr>
          <w:p w:rsidR="0061273B" w:rsidRPr="0072251B" w:rsidRDefault="0061273B" w:rsidP="006B6D8E">
            <w:pPr>
              <w:jc w:val="center"/>
              <w:rPr>
                <w:b/>
                <w:bCs/>
                <w:sz w:val="20"/>
                <w:szCs w:val="20"/>
                <w:lang w:val="uk-UA"/>
              </w:rPr>
            </w:pPr>
            <w:r w:rsidRPr="0072251B">
              <w:rPr>
                <w:b/>
                <w:bCs/>
                <w:sz w:val="20"/>
                <w:szCs w:val="20"/>
                <w:lang w:val="uk-UA"/>
              </w:rPr>
              <w:t>10</w:t>
            </w:r>
          </w:p>
        </w:tc>
        <w:tc>
          <w:tcPr>
            <w:tcW w:w="993" w:type="dxa"/>
            <w:tcBorders>
              <w:top w:val="nil"/>
              <w:left w:val="nil"/>
              <w:bottom w:val="single" w:sz="4" w:space="0" w:color="auto"/>
              <w:right w:val="single" w:sz="4" w:space="0" w:color="auto"/>
            </w:tcBorders>
            <w:shd w:val="clear" w:color="auto" w:fill="C0C0C0"/>
            <w:noWrap/>
            <w:vAlign w:val="bottom"/>
          </w:tcPr>
          <w:p w:rsidR="0061273B" w:rsidRPr="0072251B" w:rsidRDefault="0061273B" w:rsidP="006B6D8E">
            <w:pPr>
              <w:jc w:val="center"/>
              <w:rPr>
                <w:b/>
                <w:bCs/>
                <w:sz w:val="20"/>
                <w:szCs w:val="20"/>
                <w:lang w:val="uk-UA"/>
              </w:rPr>
            </w:pPr>
            <w:r w:rsidRPr="0072251B">
              <w:rPr>
                <w:b/>
                <w:bCs/>
                <w:sz w:val="20"/>
                <w:szCs w:val="20"/>
                <w:lang w:val="uk-UA"/>
              </w:rPr>
              <w:t>11</w:t>
            </w:r>
          </w:p>
        </w:tc>
      </w:tr>
      <w:tr w:rsidR="0061273B" w:rsidRPr="0072251B" w:rsidTr="0061273B">
        <w:trPr>
          <w:trHeight w:val="303"/>
        </w:trPr>
        <w:tc>
          <w:tcPr>
            <w:tcW w:w="4106" w:type="dxa"/>
            <w:tcBorders>
              <w:top w:val="single" w:sz="4" w:space="0" w:color="auto"/>
              <w:left w:val="single" w:sz="4" w:space="0" w:color="auto"/>
              <w:bottom w:val="single" w:sz="4" w:space="0" w:color="auto"/>
              <w:right w:val="single" w:sz="4" w:space="0" w:color="auto"/>
            </w:tcBorders>
            <w:vAlign w:val="center"/>
          </w:tcPr>
          <w:p w:rsidR="0061273B" w:rsidRPr="001F1962" w:rsidRDefault="001F1962" w:rsidP="006B6D8E">
            <w:pPr>
              <w:rPr>
                <w:b/>
                <w:bCs/>
                <w:sz w:val="18"/>
                <w:szCs w:val="18"/>
                <w:lang w:val="en-US"/>
              </w:rPr>
            </w:pPr>
            <w:r>
              <w:rPr>
                <w:b/>
                <w:bCs/>
                <w:sz w:val="18"/>
                <w:szCs w:val="18"/>
                <w:lang w:val="en-US"/>
              </w:rPr>
              <w:t>Life insurance</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b/>
                <w:bCs/>
                <w:sz w:val="20"/>
                <w:szCs w:val="20"/>
                <w:lang w:val="uk-UA"/>
              </w:rPr>
            </w:pPr>
            <w:r w:rsidRPr="0072251B">
              <w:rPr>
                <w:b/>
                <w:bCs/>
                <w:sz w:val="20"/>
                <w:szCs w:val="20"/>
                <w:lang w:val="uk-UA"/>
              </w:rPr>
              <w:t>556,3</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704,9</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b/>
                <w:bCs/>
                <w:sz w:val="20"/>
                <w:szCs w:val="20"/>
                <w:lang w:val="uk-UA"/>
              </w:rPr>
            </w:pPr>
            <w:r w:rsidRPr="0072251B">
              <w:rPr>
                <w:b/>
                <w:bCs/>
                <w:sz w:val="20"/>
                <w:szCs w:val="20"/>
                <w:lang w:val="uk-UA"/>
              </w:rPr>
              <w:t>556,3</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704,9</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26,7%</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26,7%</w:t>
            </w:r>
          </w:p>
        </w:tc>
      </w:tr>
      <w:tr w:rsidR="0061273B" w:rsidRPr="0072251B" w:rsidTr="0061273B">
        <w:trPr>
          <w:trHeight w:val="485"/>
        </w:trPr>
        <w:tc>
          <w:tcPr>
            <w:tcW w:w="4106" w:type="dxa"/>
            <w:tcBorders>
              <w:top w:val="single" w:sz="4" w:space="0" w:color="auto"/>
              <w:left w:val="single" w:sz="4" w:space="0" w:color="auto"/>
              <w:bottom w:val="single" w:sz="4" w:space="0" w:color="auto"/>
              <w:right w:val="single" w:sz="4" w:space="0" w:color="auto"/>
            </w:tcBorders>
            <w:vAlign w:val="center"/>
          </w:tcPr>
          <w:p w:rsidR="0061273B" w:rsidRPr="0072251B" w:rsidRDefault="001F1962" w:rsidP="006B6D8E">
            <w:pPr>
              <w:rPr>
                <w:b/>
                <w:bCs/>
                <w:sz w:val="18"/>
                <w:szCs w:val="18"/>
                <w:lang w:val="uk-UA"/>
              </w:rPr>
            </w:pPr>
            <w:r>
              <w:rPr>
                <w:b/>
                <w:bCs/>
                <w:sz w:val="18"/>
                <w:szCs w:val="18"/>
                <w:lang w:val="en-US"/>
              </w:rPr>
              <w:t>Non-life insurance</w:t>
            </w:r>
            <w:r>
              <w:rPr>
                <w:b/>
                <w:bCs/>
                <w:sz w:val="18"/>
                <w:szCs w:val="18"/>
                <w:lang w:val="uk-UA"/>
              </w:rPr>
              <w:t>,</w:t>
            </w:r>
            <w:r>
              <w:rPr>
                <w:b/>
                <w:bCs/>
                <w:sz w:val="18"/>
                <w:szCs w:val="18"/>
                <w:lang w:val="en-US"/>
              </w:rPr>
              <w:t xml:space="preserve"> including</w:t>
            </w:r>
            <w:r w:rsidR="0061273B" w:rsidRPr="0072251B">
              <w:rPr>
                <w:b/>
                <w:bCs/>
                <w:sz w:val="18"/>
                <w:szCs w:val="18"/>
                <w:lang w:val="uk-UA"/>
              </w:rPr>
              <w:t>:</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b/>
                <w:bCs/>
                <w:sz w:val="20"/>
                <w:szCs w:val="20"/>
                <w:lang w:val="uk-UA"/>
              </w:rPr>
            </w:pPr>
            <w:r w:rsidRPr="0072251B">
              <w:rPr>
                <w:b/>
                <w:bCs/>
                <w:sz w:val="20"/>
                <w:szCs w:val="20"/>
                <w:lang w:val="uk-UA"/>
              </w:rPr>
              <w:t>9 980,5</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12 158,5</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b/>
                <w:bCs/>
                <w:sz w:val="20"/>
                <w:szCs w:val="20"/>
                <w:lang w:val="uk-UA"/>
              </w:rPr>
            </w:pPr>
            <w:r w:rsidRPr="0072251B">
              <w:rPr>
                <w:b/>
                <w:bCs/>
                <w:sz w:val="20"/>
                <w:szCs w:val="20"/>
                <w:lang w:val="uk-UA"/>
              </w:rPr>
              <w:t>9 700,5</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11 727,7</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21,8%</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20,9%</w:t>
            </w:r>
          </w:p>
        </w:tc>
      </w:tr>
      <w:tr w:rsidR="0061273B" w:rsidRPr="0072251B" w:rsidTr="0061273B">
        <w:trPr>
          <w:trHeight w:val="206"/>
        </w:trPr>
        <w:tc>
          <w:tcPr>
            <w:tcW w:w="4106" w:type="dxa"/>
            <w:tcBorders>
              <w:top w:val="single" w:sz="4" w:space="0" w:color="auto"/>
              <w:left w:val="single" w:sz="4" w:space="0" w:color="auto"/>
              <w:bottom w:val="single" w:sz="4" w:space="0" w:color="auto"/>
              <w:right w:val="single" w:sz="4" w:space="0" w:color="auto"/>
            </w:tcBorders>
            <w:vAlign w:val="center"/>
          </w:tcPr>
          <w:p w:rsidR="0061273B" w:rsidRPr="001F1962" w:rsidRDefault="001F1962" w:rsidP="006B6D8E">
            <w:pPr>
              <w:rPr>
                <w:sz w:val="18"/>
                <w:szCs w:val="18"/>
                <w:lang w:val="en-US"/>
              </w:rPr>
            </w:pPr>
            <w:r w:rsidRPr="001F1962">
              <w:rPr>
                <w:sz w:val="18"/>
                <w:szCs w:val="18"/>
                <w:lang w:val="en-US"/>
              </w:rPr>
              <w:t>Voluntary personal insurance</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sz w:val="20"/>
                <w:szCs w:val="20"/>
                <w:lang w:val="uk-UA"/>
              </w:rPr>
            </w:pPr>
            <w:r w:rsidRPr="0072251B">
              <w:rPr>
                <w:sz w:val="20"/>
                <w:szCs w:val="20"/>
                <w:lang w:val="uk-UA"/>
              </w:rPr>
              <w:t>2 123,8</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2 630,3</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sz w:val="20"/>
                <w:szCs w:val="20"/>
                <w:lang w:val="uk-UA"/>
              </w:rPr>
            </w:pPr>
            <w:r w:rsidRPr="0072251B">
              <w:rPr>
                <w:sz w:val="20"/>
                <w:szCs w:val="20"/>
                <w:lang w:val="uk-UA"/>
              </w:rPr>
              <w:t>2 121,0</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2 626,6</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23,8%</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23,8%</w:t>
            </w:r>
          </w:p>
        </w:tc>
      </w:tr>
      <w:tr w:rsidR="0061273B" w:rsidRPr="0072251B" w:rsidTr="0061273B">
        <w:trPr>
          <w:trHeight w:val="230"/>
        </w:trPr>
        <w:tc>
          <w:tcPr>
            <w:tcW w:w="4106" w:type="dxa"/>
            <w:tcBorders>
              <w:top w:val="single" w:sz="4" w:space="0" w:color="auto"/>
              <w:left w:val="single" w:sz="4" w:space="0" w:color="auto"/>
              <w:bottom w:val="single" w:sz="4" w:space="0" w:color="auto"/>
              <w:right w:val="single" w:sz="4" w:space="0" w:color="auto"/>
            </w:tcBorders>
            <w:vAlign w:val="center"/>
          </w:tcPr>
          <w:p w:rsidR="0061273B" w:rsidRPr="0072251B" w:rsidRDefault="001F1962" w:rsidP="006B6D8E">
            <w:pPr>
              <w:rPr>
                <w:sz w:val="18"/>
                <w:szCs w:val="18"/>
                <w:lang w:val="uk-UA"/>
              </w:rPr>
            </w:pPr>
            <w:r w:rsidRPr="001F1962">
              <w:rPr>
                <w:sz w:val="18"/>
                <w:szCs w:val="18"/>
                <w:lang w:val="uk-UA"/>
              </w:rPr>
              <w:t>Voluntary property insurance</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sz w:val="20"/>
                <w:szCs w:val="20"/>
                <w:lang w:val="uk-UA"/>
              </w:rPr>
            </w:pPr>
            <w:r w:rsidRPr="0072251B">
              <w:rPr>
                <w:sz w:val="20"/>
                <w:szCs w:val="20"/>
                <w:lang w:val="uk-UA"/>
              </w:rPr>
              <w:t>5 378,9</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6 708,6</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sz w:val="20"/>
                <w:szCs w:val="20"/>
                <w:lang w:val="uk-UA"/>
              </w:rPr>
            </w:pPr>
            <w:r w:rsidRPr="0072251B">
              <w:rPr>
                <w:sz w:val="20"/>
                <w:szCs w:val="20"/>
                <w:lang w:val="uk-UA"/>
              </w:rPr>
              <w:t>5 253,8</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6 455,9</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24,7%</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22,9%</w:t>
            </w:r>
          </w:p>
        </w:tc>
      </w:tr>
      <w:tr w:rsidR="0061273B" w:rsidRPr="0072251B" w:rsidTr="0061273B">
        <w:trPr>
          <w:trHeight w:val="116"/>
        </w:trPr>
        <w:tc>
          <w:tcPr>
            <w:tcW w:w="4106" w:type="dxa"/>
            <w:tcBorders>
              <w:top w:val="single" w:sz="4" w:space="0" w:color="auto"/>
              <w:left w:val="single" w:sz="4" w:space="0" w:color="auto"/>
              <w:bottom w:val="single" w:sz="4" w:space="0" w:color="auto"/>
              <w:right w:val="single" w:sz="4" w:space="0" w:color="auto"/>
            </w:tcBorders>
            <w:shd w:val="clear" w:color="auto" w:fill="FFFFFF"/>
            <w:vAlign w:val="center"/>
          </w:tcPr>
          <w:p w:rsidR="0061273B" w:rsidRPr="0072251B" w:rsidRDefault="001F1962" w:rsidP="006B6D8E">
            <w:pPr>
              <w:rPr>
                <w:i/>
                <w:iCs/>
                <w:sz w:val="18"/>
                <w:szCs w:val="18"/>
                <w:lang w:val="uk-UA"/>
              </w:rPr>
            </w:pPr>
            <w:r w:rsidRPr="001F1962">
              <w:rPr>
                <w:i/>
                <w:iCs/>
                <w:sz w:val="18"/>
                <w:szCs w:val="18"/>
                <w:lang w:val="uk-UA"/>
              </w:rPr>
              <w:t>- including financial risk insurance</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sz w:val="20"/>
                <w:szCs w:val="20"/>
                <w:lang w:val="uk-UA"/>
              </w:rPr>
            </w:pPr>
            <w:r w:rsidRPr="0072251B">
              <w:rPr>
                <w:sz w:val="20"/>
                <w:szCs w:val="20"/>
                <w:lang w:val="uk-UA"/>
              </w:rPr>
              <w:t>1 879,2</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1 585,0</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sz w:val="20"/>
                <w:szCs w:val="20"/>
                <w:lang w:val="uk-UA"/>
              </w:rPr>
            </w:pPr>
            <w:r w:rsidRPr="0072251B">
              <w:rPr>
                <w:sz w:val="20"/>
                <w:szCs w:val="20"/>
                <w:lang w:val="uk-UA"/>
              </w:rPr>
              <w:t>1 803,6</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1 393,5</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-15,7%</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-22,7%</w:t>
            </w:r>
          </w:p>
        </w:tc>
      </w:tr>
      <w:tr w:rsidR="0061273B" w:rsidRPr="0072251B" w:rsidTr="0061273B">
        <w:trPr>
          <w:trHeight w:val="210"/>
        </w:trPr>
        <w:tc>
          <w:tcPr>
            <w:tcW w:w="4106" w:type="dxa"/>
            <w:tcBorders>
              <w:top w:val="single" w:sz="4" w:space="0" w:color="auto"/>
              <w:left w:val="single" w:sz="4" w:space="0" w:color="auto"/>
              <w:bottom w:val="single" w:sz="4" w:space="0" w:color="auto"/>
              <w:right w:val="single" w:sz="4" w:space="0" w:color="auto"/>
            </w:tcBorders>
            <w:vAlign w:val="center"/>
          </w:tcPr>
          <w:p w:rsidR="0061273B" w:rsidRPr="0072251B" w:rsidRDefault="001F1962" w:rsidP="006B6D8E">
            <w:pPr>
              <w:rPr>
                <w:sz w:val="18"/>
                <w:szCs w:val="18"/>
                <w:lang w:val="uk-UA"/>
              </w:rPr>
            </w:pPr>
            <w:r w:rsidRPr="001F1962">
              <w:rPr>
                <w:sz w:val="18"/>
                <w:szCs w:val="18"/>
                <w:lang w:val="uk-UA"/>
              </w:rPr>
              <w:t>Voluntary liability insurance</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sz w:val="20"/>
                <w:szCs w:val="20"/>
                <w:lang w:val="uk-UA"/>
              </w:rPr>
            </w:pPr>
            <w:r w:rsidRPr="0072251B">
              <w:rPr>
                <w:sz w:val="20"/>
                <w:szCs w:val="20"/>
                <w:lang w:val="uk-UA"/>
              </w:rPr>
              <w:t>94,2</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78,7</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sz w:val="20"/>
                <w:szCs w:val="20"/>
                <w:lang w:val="uk-UA"/>
              </w:rPr>
            </w:pPr>
            <w:r w:rsidRPr="0072251B">
              <w:rPr>
                <w:sz w:val="20"/>
                <w:szCs w:val="20"/>
                <w:lang w:val="uk-UA"/>
              </w:rPr>
              <w:t>93,6</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77,9</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-16,5%</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-16,8%</w:t>
            </w:r>
          </w:p>
        </w:tc>
      </w:tr>
      <w:tr w:rsidR="0061273B" w:rsidRPr="0072251B" w:rsidTr="0061273B">
        <w:trPr>
          <w:trHeight w:val="136"/>
        </w:trPr>
        <w:tc>
          <w:tcPr>
            <w:tcW w:w="4106" w:type="dxa"/>
            <w:tcBorders>
              <w:top w:val="single" w:sz="4" w:space="0" w:color="auto"/>
              <w:left w:val="single" w:sz="4" w:space="0" w:color="auto"/>
              <w:bottom w:val="single" w:sz="4" w:space="0" w:color="auto"/>
              <w:right w:val="single" w:sz="4" w:space="0" w:color="auto"/>
            </w:tcBorders>
            <w:vAlign w:val="center"/>
          </w:tcPr>
          <w:p w:rsidR="0061273B" w:rsidRPr="0072251B" w:rsidRDefault="001F1962" w:rsidP="006B6D8E">
            <w:pPr>
              <w:rPr>
                <w:sz w:val="18"/>
                <w:szCs w:val="18"/>
                <w:lang w:val="uk-UA"/>
              </w:rPr>
            </w:pPr>
            <w:r w:rsidRPr="001F1962">
              <w:rPr>
                <w:sz w:val="18"/>
                <w:szCs w:val="18"/>
                <w:lang w:val="uk-UA"/>
              </w:rPr>
              <w:t>Non-state compulsory insurance</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sz w:val="20"/>
                <w:szCs w:val="20"/>
                <w:lang w:val="uk-UA"/>
              </w:rPr>
            </w:pPr>
            <w:r w:rsidRPr="0072251B">
              <w:rPr>
                <w:sz w:val="20"/>
                <w:szCs w:val="20"/>
                <w:lang w:val="uk-UA"/>
              </w:rPr>
              <w:t>2 383,6</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2 740,9</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sz w:val="20"/>
                <w:szCs w:val="20"/>
                <w:lang w:val="uk-UA"/>
              </w:rPr>
            </w:pPr>
            <w:r w:rsidRPr="0072251B">
              <w:rPr>
                <w:sz w:val="20"/>
                <w:szCs w:val="20"/>
                <w:lang w:val="uk-UA"/>
              </w:rPr>
              <w:t>2 232,1</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2 567,3</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15,0%</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15,0%</w:t>
            </w:r>
          </w:p>
        </w:tc>
      </w:tr>
      <w:tr w:rsidR="0061273B" w:rsidRPr="0072251B" w:rsidTr="0061273B">
        <w:trPr>
          <w:trHeight w:val="396"/>
        </w:trPr>
        <w:tc>
          <w:tcPr>
            <w:tcW w:w="4106" w:type="dxa"/>
            <w:tcBorders>
              <w:top w:val="single" w:sz="4" w:space="0" w:color="auto"/>
              <w:left w:val="single" w:sz="4" w:space="0" w:color="auto"/>
              <w:bottom w:val="single" w:sz="4" w:space="0" w:color="auto"/>
              <w:right w:val="single" w:sz="4" w:space="0" w:color="auto"/>
            </w:tcBorders>
            <w:vAlign w:val="center"/>
          </w:tcPr>
          <w:p w:rsidR="0061273B" w:rsidRPr="0072251B" w:rsidRDefault="001F1962" w:rsidP="006B6D8E">
            <w:pPr>
              <w:rPr>
                <w:i/>
                <w:iCs/>
                <w:sz w:val="18"/>
                <w:szCs w:val="18"/>
                <w:lang w:val="uk-UA"/>
              </w:rPr>
            </w:pPr>
            <w:r w:rsidRPr="001F1962">
              <w:rPr>
                <w:i/>
                <w:iCs/>
                <w:sz w:val="18"/>
                <w:szCs w:val="18"/>
                <w:lang w:val="uk-UA"/>
              </w:rPr>
              <w:t>- including civil liability insurance of vehicle owners</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sz w:val="20"/>
                <w:szCs w:val="20"/>
                <w:lang w:val="uk-UA"/>
              </w:rPr>
            </w:pPr>
            <w:r w:rsidRPr="0072251B">
              <w:rPr>
                <w:sz w:val="20"/>
                <w:szCs w:val="20"/>
                <w:lang w:val="uk-UA"/>
              </w:rPr>
              <w:t>2 374,1</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2 682,5</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sz w:val="20"/>
                <w:szCs w:val="20"/>
                <w:lang w:val="uk-UA"/>
              </w:rPr>
            </w:pPr>
            <w:r w:rsidRPr="0072251B">
              <w:rPr>
                <w:sz w:val="20"/>
                <w:szCs w:val="20"/>
                <w:lang w:val="uk-UA"/>
              </w:rPr>
              <w:t>2 222,6</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2 509,2</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13,0%</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12,9%</w:t>
            </w:r>
          </w:p>
        </w:tc>
      </w:tr>
      <w:tr w:rsidR="0061273B" w:rsidRPr="0072251B" w:rsidTr="0061273B">
        <w:trPr>
          <w:trHeight w:val="114"/>
        </w:trPr>
        <w:tc>
          <w:tcPr>
            <w:tcW w:w="4106" w:type="dxa"/>
            <w:tcBorders>
              <w:top w:val="single" w:sz="4" w:space="0" w:color="auto"/>
              <w:left w:val="single" w:sz="4" w:space="0" w:color="auto"/>
              <w:bottom w:val="single" w:sz="4" w:space="0" w:color="auto"/>
              <w:right w:val="single" w:sz="4" w:space="0" w:color="auto"/>
            </w:tcBorders>
            <w:vAlign w:val="center"/>
          </w:tcPr>
          <w:p w:rsidR="0061273B" w:rsidRPr="0072251B" w:rsidRDefault="001F1962" w:rsidP="006B6D8E">
            <w:pPr>
              <w:rPr>
                <w:sz w:val="18"/>
                <w:szCs w:val="18"/>
                <w:lang w:val="uk-UA"/>
              </w:rPr>
            </w:pPr>
            <w:r w:rsidRPr="001F1962">
              <w:rPr>
                <w:sz w:val="18"/>
                <w:szCs w:val="18"/>
                <w:lang w:val="uk-UA"/>
              </w:rPr>
              <w:t>State compulsory insurance</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7850DC">
            <w:pPr>
              <w:jc w:val="right"/>
              <w:rPr>
                <w:sz w:val="20"/>
                <w:szCs w:val="20"/>
                <w:lang w:val="uk-UA"/>
              </w:rPr>
            </w:pPr>
            <w:r w:rsidRPr="0072251B">
              <w:rPr>
                <w:sz w:val="20"/>
                <w:szCs w:val="20"/>
                <w:lang w:val="uk-UA"/>
              </w:rPr>
              <w:t>0,0</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3570C2">
            <w:pPr>
              <w:jc w:val="right"/>
              <w:rPr>
                <w:sz w:val="20"/>
                <w:szCs w:val="20"/>
                <w:lang w:val="uk-UA"/>
              </w:rPr>
            </w:pPr>
            <w:r w:rsidRPr="0072251B">
              <w:rPr>
                <w:sz w:val="20"/>
                <w:szCs w:val="20"/>
                <w:lang w:val="uk-UA"/>
              </w:rPr>
              <w:t>0,0</w:t>
            </w:r>
          </w:p>
        </w:tc>
        <w:tc>
          <w:tcPr>
            <w:tcW w:w="992"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sz w:val="20"/>
                <w:szCs w:val="20"/>
                <w:lang w:val="uk-UA"/>
              </w:rPr>
            </w:pPr>
            <w:r w:rsidRPr="0072251B">
              <w:rPr>
                <w:sz w:val="20"/>
                <w:szCs w:val="20"/>
                <w:lang w:val="uk-UA"/>
              </w:rPr>
              <w:t>0,0</w:t>
            </w:r>
          </w:p>
        </w:tc>
        <w:tc>
          <w:tcPr>
            <w:tcW w:w="992" w:type="dxa"/>
            <w:tcBorders>
              <w:top w:val="single" w:sz="4" w:space="0" w:color="auto"/>
              <w:left w:val="single" w:sz="4" w:space="0" w:color="auto"/>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0,0%</w:t>
            </w:r>
          </w:p>
        </w:tc>
        <w:tc>
          <w:tcPr>
            <w:tcW w:w="993" w:type="dxa"/>
            <w:tcBorders>
              <w:top w:val="single" w:sz="4" w:space="0" w:color="auto"/>
              <w:left w:val="nil"/>
              <w:bottom w:val="single" w:sz="4" w:space="0" w:color="auto"/>
              <w:right w:val="single" w:sz="4" w:space="0" w:color="auto"/>
            </w:tcBorders>
            <w:vAlign w:val="bottom"/>
          </w:tcPr>
          <w:p w:rsidR="0061273B" w:rsidRPr="0072251B" w:rsidRDefault="0061273B" w:rsidP="005023F2">
            <w:pPr>
              <w:jc w:val="right"/>
              <w:rPr>
                <w:b/>
                <w:bCs/>
                <w:sz w:val="20"/>
                <w:szCs w:val="20"/>
                <w:lang w:val="uk-UA"/>
              </w:rPr>
            </w:pPr>
            <w:r w:rsidRPr="0072251B">
              <w:rPr>
                <w:b/>
                <w:bCs/>
                <w:sz w:val="20"/>
                <w:szCs w:val="20"/>
                <w:lang w:val="uk-UA"/>
              </w:rPr>
              <w:t>0,0%</w:t>
            </w:r>
          </w:p>
        </w:tc>
      </w:tr>
      <w:tr w:rsidR="0061273B" w:rsidRPr="0072251B" w:rsidTr="0061273B">
        <w:trPr>
          <w:trHeight w:val="108"/>
        </w:trPr>
        <w:tc>
          <w:tcPr>
            <w:tcW w:w="4106" w:type="dxa"/>
            <w:tcBorders>
              <w:top w:val="single" w:sz="4" w:space="0" w:color="auto"/>
              <w:left w:val="single" w:sz="4" w:space="0" w:color="auto"/>
              <w:bottom w:val="single" w:sz="8" w:space="0" w:color="auto"/>
              <w:right w:val="single" w:sz="4" w:space="0" w:color="auto"/>
            </w:tcBorders>
            <w:shd w:val="pct12" w:color="CCFFFF" w:fill="CCFFCC"/>
            <w:vAlign w:val="center"/>
          </w:tcPr>
          <w:p w:rsidR="0061273B" w:rsidRPr="0072251B" w:rsidRDefault="001F1962" w:rsidP="006B6D8E">
            <w:pPr>
              <w:rPr>
                <w:b/>
                <w:bCs/>
                <w:sz w:val="18"/>
                <w:szCs w:val="18"/>
                <w:lang w:val="uk-UA"/>
              </w:rPr>
            </w:pPr>
            <w:r>
              <w:rPr>
                <w:b/>
                <w:bCs/>
                <w:sz w:val="18"/>
                <w:szCs w:val="18"/>
                <w:lang w:val="en-US"/>
              </w:rPr>
              <w:t xml:space="preserve">Total </w:t>
            </w:r>
            <w:r>
              <w:rPr>
                <w:b/>
                <w:bCs/>
                <w:sz w:val="18"/>
                <w:szCs w:val="18"/>
                <w:lang w:val="uk-UA"/>
              </w:rPr>
              <w:t xml:space="preserve"> (</w:t>
            </w:r>
            <w:r>
              <w:rPr>
                <w:b/>
                <w:bCs/>
                <w:sz w:val="18"/>
                <w:szCs w:val="18"/>
                <w:lang w:val="en-US"/>
              </w:rPr>
              <w:t>all types of insurance</w:t>
            </w:r>
            <w:r w:rsidR="0061273B" w:rsidRPr="0072251B">
              <w:rPr>
                <w:b/>
                <w:bCs/>
                <w:sz w:val="18"/>
                <w:szCs w:val="18"/>
                <w:lang w:val="uk-UA"/>
              </w:rPr>
              <w:t>)</w:t>
            </w:r>
          </w:p>
        </w:tc>
        <w:tc>
          <w:tcPr>
            <w:tcW w:w="992" w:type="dxa"/>
            <w:tcBorders>
              <w:top w:val="single" w:sz="4" w:space="0" w:color="auto"/>
              <w:left w:val="nil"/>
              <w:bottom w:val="single" w:sz="8" w:space="0" w:color="auto"/>
              <w:right w:val="single" w:sz="4" w:space="0" w:color="auto"/>
            </w:tcBorders>
            <w:shd w:val="clear" w:color="auto" w:fill="CCFFCC"/>
            <w:vAlign w:val="bottom"/>
          </w:tcPr>
          <w:p w:rsidR="0061273B" w:rsidRPr="0072251B" w:rsidRDefault="0061273B" w:rsidP="007850DC">
            <w:pPr>
              <w:jc w:val="center"/>
              <w:rPr>
                <w:b/>
                <w:bCs/>
                <w:sz w:val="20"/>
                <w:szCs w:val="20"/>
                <w:lang w:val="uk-UA"/>
              </w:rPr>
            </w:pPr>
            <w:r w:rsidRPr="0072251B">
              <w:rPr>
                <w:b/>
                <w:bCs/>
                <w:sz w:val="20"/>
                <w:szCs w:val="20"/>
                <w:lang w:val="uk-UA"/>
              </w:rPr>
              <w:t>10 536,8</w:t>
            </w:r>
          </w:p>
        </w:tc>
        <w:tc>
          <w:tcPr>
            <w:tcW w:w="993" w:type="dxa"/>
            <w:tcBorders>
              <w:top w:val="single" w:sz="4" w:space="0" w:color="auto"/>
              <w:left w:val="nil"/>
              <w:bottom w:val="single" w:sz="8" w:space="0" w:color="auto"/>
              <w:right w:val="single" w:sz="4" w:space="0" w:color="auto"/>
            </w:tcBorders>
            <w:shd w:val="clear" w:color="auto" w:fill="CCFFCC"/>
            <w:vAlign w:val="bottom"/>
          </w:tcPr>
          <w:p w:rsidR="0061273B" w:rsidRPr="0072251B" w:rsidRDefault="0061273B" w:rsidP="005023F2">
            <w:pPr>
              <w:jc w:val="right"/>
              <w:rPr>
                <w:b/>
                <w:bCs/>
                <w:sz w:val="20"/>
                <w:szCs w:val="20"/>
                <w:lang w:val="uk-UA"/>
              </w:rPr>
            </w:pPr>
            <w:r w:rsidRPr="0072251B">
              <w:rPr>
                <w:b/>
                <w:bCs/>
                <w:sz w:val="20"/>
                <w:szCs w:val="20"/>
                <w:lang w:val="uk-UA"/>
              </w:rPr>
              <w:t>12 863,4</w:t>
            </w:r>
          </w:p>
        </w:tc>
        <w:tc>
          <w:tcPr>
            <w:tcW w:w="992" w:type="dxa"/>
            <w:tcBorders>
              <w:top w:val="single" w:sz="4" w:space="0" w:color="auto"/>
              <w:left w:val="single" w:sz="4" w:space="0" w:color="auto"/>
              <w:bottom w:val="single" w:sz="8" w:space="0" w:color="auto"/>
              <w:right w:val="single" w:sz="4" w:space="0" w:color="auto"/>
            </w:tcBorders>
            <w:shd w:val="clear" w:color="auto" w:fill="CCFFCC"/>
            <w:vAlign w:val="bottom"/>
          </w:tcPr>
          <w:p w:rsidR="0061273B" w:rsidRPr="0072251B" w:rsidRDefault="0061273B" w:rsidP="003570C2">
            <w:pPr>
              <w:jc w:val="center"/>
              <w:rPr>
                <w:b/>
                <w:bCs/>
                <w:sz w:val="20"/>
                <w:szCs w:val="20"/>
                <w:lang w:val="uk-UA"/>
              </w:rPr>
            </w:pPr>
            <w:r w:rsidRPr="0072251B">
              <w:rPr>
                <w:b/>
                <w:bCs/>
                <w:sz w:val="20"/>
                <w:szCs w:val="20"/>
                <w:lang w:val="uk-UA"/>
              </w:rPr>
              <w:t>10 256,8</w:t>
            </w:r>
          </w:p>
        </w:tc>
        <w:tc>
          <w:tcPr>
            <w:tcW w:w="992" w:type="dxa"/>
            <w:tcBorders>
              <w:top w:val="single" w:sz="4" w:space="0" w:color="auto"/>
              <w:left w:val="nil"/>
              <w:bottom w:val="single" w:sz="8" w:space="0" w:color="auto"/>
              <w:right w:val="single" w:sz="4" w:space="0" w:color="auto"/>
            </w:tcBorders>
            <w:shd w:val="clear" w:color="auto" w:fill="CCFFCC"/>
            <w:vAlign w:val="bottom"/>
          </w:tcPr>
          <w:p w:rsidR="0061273B" w:rsidRPr="0072251B" w:rsidRDefault="0061273B" w:rsidP="005023F2">
            <w:pPr>
              <w:jc w:val="right"/>
              <w:rPr>
                <w:b/>
                <w:bCs/>
                <w:sz w:val="20"/>
                <w:szCs w:val="20"/>
                <w:lang w:val="uk-UA"/>
              </w:rPr>
            </w:pPr>
            <w:r w:rsidRPr="0072251B">
              <w:rPr>
                <w:b/>
                <w:bCs/>
                <w:sz w:val="20"/>
                <w:szCs w:val="20"/>
                <w:lang w:val="uk-UA"/>
              </w:rPr>
              <w:t>12 432,6</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bottom"/>
          </w:tcPr>
          <w:p w:rsidR="0061273B" w:rsidRPr="0072251B" w:rsidRDefault="0061273B" w:rsidP="005023F2">
            <w:pPr>
              <w:jc w:val="right"/>
              <w:rPr>
                <w:b/>
                <w:bCs/>
                <w:sz w:val="20"/>
                <w:szCs w:val="20"/>
                <w:lang w:val="uk-UA"/>
              </w:rPr>
            </w:pPr>
            <w:r w:rsidRPr="0072251B">
              <w:rPr>
                <w:b/>
                <w:bCs/>
                <w:sz w:val="20"/>
                <w:szCs w:val="20"/>
                <w:lang w:val="uk-UA"/>
              </w:rPr>
              <w:t>22,1%</w:t>
            </w:r>
          </w:p>
        </w:tc>
        <w:tc>
          <w:tcPr>
            <w:tcW w:w="993" w:type="dxa"/>
            <w:tcBorders>
              <w:top w:val="single" w:sz="4" w:space="0" w:color="auto"/>
              <w:left w:val="nil"/>
              <w:bottom w:val="single" w:sz="4" w:space="0" w:color="auto"/>
              <w:right w:val="single" w:sz="4" w:space="0" w:color="auto"/>
            </w:tcBorders>
            <w:shd w:val="clear" w:color="auto" w:fill="CCFFCC"/>
            <w:vAlign w:val="bottom"/>
          </w:tcPr>
          <w:p w:rsidR="0061273B" w:rsidRPr="0072251B" w:rsidRDefault="0061273B" w:rsidP="005023F2">
            <w:pPr>
              <w:jc w:val="right"/>
              <w:rPr>
                <w:b/>
                <w:bCs/>
                <w:sz w:val="20"/>
                <w:szCs w:val="20"/>
                <w:lang w:val="uk-UA"/>
              </w:rPr>
            </w:pPr>
            <w:r w:rsidRPr="0072251B">
              <w:rPr>
                <w:b/>
                <w:bCs/>
                <w:sz w:val="20"/>
                <w:szCs w:val="20"/>
                <w:lang w:val="uk-UA"/>
              </w:rPr>
              <w:t>21,2%</w:t>
            </w:r>
          </w:p>
        </w:tc>
      </w:tr>
    </w:tbl>
    <w:p w:rsidR="00132B0E" w:rsidRPr="0072251B" w:rsidRDefault="00132B0E" w:rsidP="00CE5C6B">
      <w:pPr>
        <w:jc w:val="right"/>
        <w:rPr>
          <w:i/>
          <w:lang w:val="uk-UA"/>
        </w:rPr>
      </w:pPr>
    </w:p>
    <w:p w:rsidR="00132B0E" w:rsidRPr="00164C81" w:rsidRDefault="001F1962" w:rsidP="00CE5C6B">
      <w:pPr>
        <w:jc w:val="right"/>
        <w:rPr>
          <w:lang w:val="en-US"/>
        </w:rPr>
      </w:pPr>
      <w:r>
        <w:rPr>
          <w:i/>
          <w:lang w:val="en-US"/>
        </w:rPr>
        <w:lastRenderedPageBreak/>
        <w:t>Table</w:t>
      </w:r>
      <w:r w:rsidR="00132B0E" w:rsidRPr="0072251B">
        <w:rPr>
          <w:i/>
          <w:lang w:val="uk-UA"/>
        </w:rPr>
        <w:t xml:space="preserve"> </w:t>
      </w:r>
      <w:r w:rsidR="00164C81">
        <w:rPr>
          <w:i/>
          <w:lang w:val="en-US"/>
        </w:rPr>
        <w:t>7</w:t>
      </w:r>
    </w:p>
    <w:p w:rsidR="00132B0E" w:rsidRPr="0072251B" w:rsidRDefault="00E8048B" w:rsidP="00CE5C6B">
      <w:pPr>
        <w:jc w:val="center"/>
        <w:rPr>
          <w:b/>
          <w:sz w:val="28"/>
          <w:szCs w:val="28"/>
          <w:lang w:val="uk-UA"/>
        </w:rPr>
      </w:pPr>
      <w:r w:rsidRPr="00E8048B">
        <w:rPr>
          <w:b/>
          <w:sz w:val="28"/>
          <w:szCs w:val="28"/>
          <w:lang w:val="uk-UA"/>
        </w:rPr>
        <w:t>The structure of gross and net insurance payments for 2017-2018 years</w:t>
      </w:r>
    </w:p>
    <w:tbl>
      <w:tblPr>
        <w:tblW w:w="956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1080"/>
        <w:gridCol w:w="1080"/>
        <w:gridCol w:w="1107"/>
        <w:gridCol w:w="1080"/>
        <w:gridCol w:w="1240"/>
        <w:gridCol w:w="20"/>
        <w:gridCol w:w="1074"/>
      </w:tblGrid>
      <w:tr w:rsidR="00132B0E" w:rsidRPr="00911B49" w:rsidTr="004552B4">
        <w:trPr>
          <w:trHeight w:val="20"/>
        </w:trPr>
        <w:tc>
          <w:tcPr>
            <w:tcW w:w="2885" w:type="dxa"/>
            <w:vMerge w:val="restart"/>
            <w:noWrap/>
            <w:vAlign w:val="center"/>
          </w:tcPr>
          <w:p w:rsidR="00132B0E" w:rsidRPr="00E8048B" w:rsidRDefault="00132B0E" w:rsidP="0094599B">
            <w:pPr>
              <w:rPr>
                <w:b/>
                <w:color w:val="000000"/>
                <w:lang w:val="en-US"/>
              </w:rPr>
            </w:pPr>
            <w:r w:rsidRPr="0072251B">
              <w:rPr>
                <w:color w:val="000000"/>
                <w:lang w:val="uk-UA"/>
              </w:rPr>
              <w:t> </w:t>
            </w:r>
            <w:r w:rsidR="00E8048B">
              <w:rPr>
                <w:b/>
                <w:lang w:val="en-US"/>
              </w:rPr>
              <w:t>Types of insurance</w:t>
            </w:r>
          </w:p>
        </w:tc>
        <w:tc>
          <w:tcPr>
            <w:tcW w:w="4347" w:type="dxa"/>
            <w:gridSpan w:val="4"/>
            <w:vAlign w:val="center"/>
          </w:tcPr>
          <w:p w:rsidR="00132B0E" w:rsidRPr="0072251B" w:rsidRDefault="00E8048B" w:rsidP="0094599B">
            <w:pPr>
              <w:jc w:val="center"/>
              <w:rPr>
                <w:b/>
                <w:color w:val="000000"/>
                <w:lang w:val="uk-UA"/>
              </w:rPr>
            </w:pPr>
            <w:r w:rsidRPr="00E8048B">
              <w:rPr>
                <w:b/>
                <w:color w:val="000000"/>
                <w:lang w:val="uk-UA"/>
              </w:rPr>
              <w:t>Insurance payments</w:t>
            </w:r>
            <w:r>
              <w:rPr>
                <w:b/>
                <w:color w:val="000000"/>
                <w:lang w:val="en-US"/>
              </w:rPr>
              <w:t>,</w:t>
            </w:r>
            <w:r w:rsidRPr="00E8048B">
              <w:rPr>
                <w:b/>
                <w:color w:val="000000"/>
                <w:lang w:val="uk-UA"/>
              </w:rPr>
              <w:t xml:space="preserve"> million UAH</w:t>
            </w:r>
          </w:p>
        </w:tc>
        <w:tc>
          <w:tcPr>
            <w:tcW w:w="2334" w:type="dxa"/>
            <w:gridSpan w:val="3"/>
            <w:noWrap/>
            <w:vAlign w:val="center"/>
          </w:tcPr>
          <w:p w:rsidR="00132B0E" w:rsidRPr="0072251B" w:rsidRDefault="00E8048B" w:rsidP="0094599B">
            <w:pPr>
              <w:jc w:val="center"/>
              <w:rPr>
                <w:b/>
                <w:color w:val="000000"/>
                <w:lang w:val="uk-UA"/>
              </w:rPr>
            </w:pPr>
            <w:r w:rsidRPr="00E8048B">
              <w:rPr>
                <w:b/>
                <w:color w:val="000000"/>
                <w:lang w:val="uk-UA"/>
              </w:rPr>
              <w:t>Growth rates of insurance payments,%</w:t>
            </w:r>
          </w:p>
        </w:tc>
      </w:tr>
      <w:tr w:rsidR="00132B0E" w:rsidRPr="0072251B" w:rsidTr="004552B4">
        <w:trPr>
          <w:trHeight w:val="20"/>
        </w:trPr>
        <w:tc>
          <w:tcPr>
            <w:tcW w:w="2885" w:type="dxa"/>
            <w:vMerge/>
            <w:noWrap/>
            <w:vAlign w:val="center"/>
          </w:tcPr>
          <w:p w:rsidR="00132B0E" w:rsidRPr="0072251B" w:rsidRDefault="00132B0E" w:rsidP="0094599B">
            <w:pPr>
              <w:rPr>
                <w:color w:val="000000"/>
                <w:lang w:val="uk-UA"/>
              </w:rPr>
            </w:pPr>
          </w:p>
        </w:tc>
        <w:tc>
          <w:tcPr>
            <w:tcW w:w="1080" w:type="dxa"/>
            <w:vAlign w:val="center"/>
          </w:tcPr>
          <w:p w:rsidR="00132B0E" w:rsidRPr="00E8048B" w:rsidRDefault="00E8048B" w:rsidP="0094599B">
            <w:pPr>
              <w:jc w:val="center"/>
              <w:rPr>
                <w:b/>
                <w:color w:val="000000"/>
                <w:lang w:val="en-US"/>
              </w:rPr>
            </w:pPr>
            <w:r>
              <w:rPr>
                <w:b/>
                <w:color w:val="000000"/>
                <w:lang w:val="en-US"/>
              </w:rPr>
              <w:t>Gross</w:t>
            </w:r>
          </w:p>
        </w:tc>
        <w:tc>
          <w:tcPr>
            <w:tcW w:w="1080" w:type="dxa"/>
            <w:noWrap/>
            <w:vAlign w:val="center"/>
          </w:tcPr>
          <w:p w:rsidR="00132B0E" w:rsidRPr="00E8048B" w:rsidRDefault="00E8048B" w:rsidP="0094599B">
            <w:pPr>
              <w:jc w:val="center"/>
              <w:rPr>
                <w:b/>
                <w:color w:val="000000"/>
                <w:lang w:val="en-US"/>
              </w:rPr>
            </w:pPr>
            <w:r>
              <w:rPr>
                <w:b/>
                <w:color w:val="000000"/>
                <w:lang w:val="en-US"/>
              </w:rPr>
              <w:t>Net</w:t>
            </w:r>
          </w:p>
        </w:tc>
        <w:tc>
          <w:tcPr>
            <w:tcW w:w="1107" w:type="dxa"/>
            <w:vAlign w:val="center"/>
          </w:tcPr>
          <w:p w:rsidR="00132B0E" w:rsidRPr="00E8048B" w:rsidRDefault="00E8048B" w:rsidP="0094599B">
            <w:pPr>
              <w:jc w:val="center"/>
              <w:rPr>
                <w:b/>
                <w:color w:val="000000"/>
                <w:lang w:val="en-US"/>
              </w:rPr>
            </w:pPr>
            <w:r>
              <w:rPr>
                <w:b/>
                <w:color w:val="000000"/>
                <w:lang w:val="en-US"/>
              </w:rPr>
              <w:t>Gross</w:t>
            </w:r>
          </w:p>
        </w:tc>
        <w:tc>
          <w:tcPr>
            <w:tcW w:w="1080" w:type="dxa"/>
            <w:noWrap/>
            <w:vAlign w:val="center"/>
          </w:tcPr>
          <w:p w:rsidR="00132B0E" w:rsidRPr="00E8048B" w:rsidRDefault="00E8048B" w:rsidP="0094599B">
            <w:pPr>
              <w:jc w:val="center"/>
              <w:rPr>
                <w:b/>
                <w:color w:val="000000"/>
                <w:lang w:val="en-US"/>
              </w:rPr>
            </w:pPr>
            <w:r>
              <w:rPr>
                <w:b/>
                <w:color w:val="000000"/>
                <w:lang w:val="en-US"/>
              </w:rPr>
              <w:t>Net</w:t>
            </w:r>
          </w:p>
        </w:tc>
        <w:tc>
          <w:tcPr>
            <w:tcW w:w="1240" w:type="dxa"/>
            <w:noWrap/>
            <w:vAlign w:val="center"/>
          </w:tcPr>
          <w:p w:rsidR="00132B0E" w:rsidRPr="00E8048B" w:rsidRDefault="00E8048B" w:rsidP="0094599B">
            <w:pPr>
              <w:jc w:val="center"/>
              <w:rPr>
                <w:b/>
                <w:color w:val="000000"/>
                <w:lang w:val="en-US"/>
              </w:rPr>
            </w:pPr>
            <w:r>
              <w:rPr>
                <w:b/>
                <w:color w:val="000000"/>
                <w:lang w:val="en-US"/>
              </w:rPr>
              <w:t>Gross payments</w:t>
            </w:r>
          </w:p>
        </w:tc>
        <w:tc>
          <w:tcPr>
            <w:tcW w:w="1094" w:type="dxa"/>
            <w:gridSpan w:val="2"/>
            <w:vAlign w:val="center"/>
          </w:tcPr>
          <w:p w:rsidR="00132B0E" w:rsidRPr="00E8048B" w:rsidRDefault="00E8048B" w:rsidP="0094599B">
            <w:pPr>
              <w:jc w:val="center"/>
              <w:rPr>
                <w:b/>
                <w:color w:val="000000"/>
                <w:lang w:val="en-US"/>
              </w:rPr>
            </w:pPr>
            <w:r>
              <w:rPr>
                <w:b/>
                <w:color w:val="000000"/>
                <w:lang w:val="en-US"/>
              </w:rPr>
              <w:t>Net payments</w:t>
            </w:r>
          </w:p>
        </w:tc>
      </w:tr>
      <w:tr w:rsidR="00132B0E" w:rsidRPr="0072251B" w:rsidTr="004552B4">
        <w:trPr>
          <w:trHeight w:val="20"/>
        </w:trPr>
        <w:tc>
          <w:tcPr>
            <w:tcW w:w="2885" w:type="dxa"/>
            <w:vMerge/>
            <w:noWrap/>
            <w:vAlign w:val="center"/>
          </w:tcPr>
          <w:p w:rsidR="00132B0E" w:rsidRPr="0072251B" w:rsidRDefault="00132B0E" w:rsidP="0094599B">
            <w:pPr>
              <w:rPr>
                <w:color w:val="000000"/>
                <w:lang w:val="uk-UA"/>
              </w:rPr>
            </w:pPr>
          </w:p>
        </w:tc>
        <w:tc>
          <w:tcPr>
            <w:tcW w:w="2160" w:type="dxa"/>
            <w:gridSpan w:val="2"/>
            <w:vAlign w:val="center"/>
          </w:tcPr>
          <w:p w:rsidR="00132B0E" w:rsidRPr="0072251B" w:rsidRDefault="00132B0E" w:rsidP="0094599B">
            <w:pPr>
              <w:jc w:val="center"/>
              <w:rPr>
                <w:b/>
                <w:color w:val="000000"/>
                <w:lang w:val="uk-UA"/>
              </w:rPr>
            </w:pPr>
            <w:r w:rsidRPr="0072251B">
              <w:rPr>
                <w:b/>
                <w:color w:val="000000"/>
                <w:lang w:val="uk-UA"/>
              </w:rPr>
              <w:t>2017</w:t>
            </w:r>
          </w:p>
        </w:tc>
        <w:tc>
          <w:tcPr>
            <w:tcW w:w="2187" w:type="dxa"/>
            <w:gridSpan w:val="2"/>
            <w:vAlign w:val="center"/>
          </w:tcPr>
          <w:p w:rsidR="00132B0E" w:rsidRPr="0072251B" w:rsidRDefault="00132B0E" w:rsidP="0094599B">
            <w:pPr>
              <w:jc w:val="center"/>
              <w:rPr>
                <w:b/>
                <w:color w:val="000000"/>
                <w:lang w:val="uk-UA"/>
              </w:rPr>
            </w:pPr>
            <w:r w:rsidRPr="0072251B">
              <w:rPr>
                <w:b/>
                <w:color w:val="000000"/>
                <w:lang w:val="uk-UA"/>
              </w:rPr>
              <w:t>2018</w:t>
            </w:r>
          </w:p>
        </w:tc>
        <w:tc>
          <w:tcPr>
            <w:tcW w:w="2334" w:type="dxa"/>
            <w:gridSpan w:val="3"/>
            <w:noWrap/>
            <w:vAlign w:val="center"/>
          </w:tcPr>
          <w:p w:rsidR="00132B0E" w:rsidRPr="0072251B" w:rsidRDefault="00132B0E" w:rsidP="00966352">
            <w:pPr>
              <w:jc w:val="center"/>
              <w:rPr>
                <w:b/>
                <w:color w:val="000000"/>
                <w:lang w:val="uk-UA"/>
              </w:rPr>
            </w:pPr>
            <w:r w:rsidRPr="0072251B">
              <w:rPr>
                <w:b/>
                <w:bCs/>
                <w:lang w:val="uk-UA"/>
              </w:rPr>
              <w:t>2018/2017</w:t>
            </w:r>
          </w:p>
        </w:tc>
      </w:tr>
      <w:tr w:rsidR="00132B0E" w:rsidRPr="0072251B" w:rsidTr="004552B4">
        <w:trPr>
          <w:trHeight w:val="20"/>
        </w:trPr>
        <w:tc>
          <w:tcPr>
            <w:tcW w:w="2885" w:type="dxa"/>
            <w:vAlign w:val="bottom"/>
          </w:tcPr>
          <w:p w:rsidR="00132B0E" w:rsidRPr="0072251B" w:rsidRDefault="00E8048B">
            <w:pPr>
              <w:rPr>
                <w:color w:val="000000"/>
                <w:lang w:val="uk-UA"/>
              </w:rPr>
            </w:pPr>
            <w:r>
              <w:rPr>
                <w:color w:val="000000"/>
                <w:lang w:val="en-US"/>
              </w:rPr>
              <w:t>Auto insurance</w:t>
            </w:r>
            <w:r w:rsidR="005B5A60">
              <w:rPr>
                <w:color w:val="000000"/>
                <w:lang w:val="en-US"/>
              </w:rPr>
              <w:t xml:space="preserve"> </w:t>
            </w:r>
            <w:r>
              <w:rPr>
                <w:color w:val="000000"/>
                <w:lang w:val="uk-UA"/>
              </w:rPr>
              <w:t>(</w:t>
            </w:r>
            <w:r>
              <w:rPr>
                <w:color w:val="000000"/>
                <w:lang w:val="en-US"/>
              </w:rPr>
              <w:t>CNC insurance</w:t>
            </w:r>
            <w:r>
              <w:rPr>
                <w:color w:val="000000"/>
                <w:lang w:val="uk-UA"/>
              </w:rPr>
              <w:t xml:space="preserve">, </w:t>
            </w:r>
            <w:r w:rsidR="0097087E">
              <w:rPr>
                <w:color w:val="000000"/>
                <w:lang w:val="en-US"/>
              </w:rPr>
              <w:t>C</w:t>
            </w:r>
            <w:r>
              <w:rPr>
                <w:color w:val="000000"/>
                <w:lang w:val="en-US"/>
              </w:rPr>
              <w:t>MTPL</w:t>
            </w:r>
            <w:r>
              <w:rPr>
                <w:color w:val="000000"/>
                <w:lang w:val="uk-UA"/>
              </w:rPr>
              <w:t>, "</w:t>
            </w:r>
            <w:r>
              <w:rPr>
                <w:color w:val="000000"/>
                <w:lang w:val="en-US"/>
              </w:rPr>
              <w:t>Green card</w:t>
            </w:r>
            <w:r w:rsidR="00132B0E" w:rsidRPr="0072251B">
              <w:rPr>
                <w:color w:val="000000"/>
                <w:lang w:val="uk-UA"/>
              </w:rPr>
              <w:t>")</w:t>
            </w:r>
          </w:p>
        </w:tc>
        <w:tc>
          <w:tcPr>
            <w:tcW w:w="1080" w:type="dxa"/>
            <w:vAlign w:val="bottom"/>
          </w:tcPr>
          <w:p w:rsidR="00132B0E" w:rsidRPr="0072251B" w:rsidRDefault="00132B0E" w:rsidP="009E59C0">
            <w:pPr>
              <w:jc w:val="right"/>
              <w:rPr>
                <w:color w:val="000000"/>
                <w:lang w:val="uk-UA"/>
              </w:rPr>
            </w:pPr>
            <w:r w:rsidRPr="0072251B">
              <w:rPr>
                <w:color w:val="000000"/>
                <w:lang w:val="uk-UA"/>
              </w:rPr>
              <w:t>4 997,8</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4 802,9</w:t>
            </w:r>
          </w:p>
        </w:tc>
        <w:tc>
          <w:tcPr>
            <w:tcW w:w="1107" w:type="dxa"/>
            <w:vAlign w:val="bottom"/>
          </w:tcPr>
          <w:p w:rsidR="00132B0E" w:rsidRPr="0072251B" w:rsidRDefault="00132B0E" w:rsidP="009E59C0">
            <w:pPr>
              <w:jc w:val="right"/>
              <w:rPr>
                <w:color w:val="000000"/>
                <w:lang w:val="uk-UA"/>
              </w:rPr>
            </w:pPr>
            <w:r w:rsidRPr="0072251B">
              <w:rPr>
                <w:color w:val="000000"/>
                <w:lang w:val="uk-UA"/>
              </w:rPr>
              <w:t>5 831,6</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5 623,8</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16,7</w:t>
            </w:r>
          </w:p>
        </w:tc>
        <w:tc>
          <w:tcPr>
            <w:tcW w:w="1074" w:type="dxa"/>
            <w:vAlign w:val="bottom"/>
          </w:tcPr>
          <w:p w:rsidR="00132B0E" w:rsidRPr="0072251B" w:rsidRDefault="00132B0E" w:rsidP="009E59C0">
            <w:pPr>
              <w:jc w:val="right"/>
              <w:rPr>
                <w:color w:val="000000"/>
                <w:lang w:val="uk-UA"/>
              </w:rPr>
            </w:pPr>
            <w:r w:rsidRPr="0072251B">
              <w:rPr>
                <w:color w:val="000000"/>
                <w:lang w:val="uk-UA"/>
              </w:rPr>
              <w:t>17,1</w:t>
            </w:r>
          </w:p>
        </w:tc>
      </w:tr>
      <w:tr w:rsidR="00132B0E" w:rsidRPr="0072251B" w:rsidTr="004552B4">
        <w:trPr>
          <w:trHeight w:val="20"/>
        </w:trPr>
        <w:tc>
          <w:tcPr>
            <w:tcW w:w="2885" w:type="dxa"/>
            <w:vAlign w:val="bottom"/>
          </w:tcPr>
          <w:p w:rsidR="00132B0E" w:rsidRPr="0072251B" w:rsidRDefault="005B5A60">
            <w:pPr>
              <w:rPr>
                <w:color w:val="000000"/>
                <w:lang w:val="uk-UA"/>
              </w:rPr>
            </w:pPr>
            <w:r w:rsidRPr="005B5A60">
              <w:rPr>
                <w:color w:val="000000"/>
                <w:lang w:val="uk-UA"/>
              </w:rPr>
              <w:t>Medical insurance (continuous health insurance)</w:t>
            </w:r>
          </w:p>
        </w:tc>
        <w:tc>
          <w:tcPr>
            <w:tcW w:w="1080" w:type="dxa"/>
            <w:vAlign w:val="bottom"/>
          </w:tcPr>
          <w:p w:rsidR="00132B0E" w:rsidRPr="0072251B" w:rsidRDefault="00132B0E" w:rsidP="009E59C0">
            <w:pPr>
              <w:jc w:val="right"/>
              <w:rPr>
                <w:color w:val="000000"/>
                <w:lang w:val="uk-UA"/>
              </w:rPr>
            </w:pPr>
            <w:r w:rsidRPr="0072251B">
              <w:rPr>
                <w:color w:val="000000"/>
                <w:lang w:val="uk-UA"/>
              </w:rPr>
              <w:t>1 672,0</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1 671,6</w:t>
            </w:r>
          </w:p>
        </w:tc>
        <w:tc>
          <w:tcPr>
            <w:tcW w:w="1107" w:type="dxa"/>
            <w:vAlign w:val="bottom"/>
          </w:tcPr>
          <w:p w:rsidR="00132B0E" w:rsidRPr="0072251B" w:rsidRDefault="00132B0E" w:rsidP="009E59C0">
            <w:pPr>
              <w:jc w:val="right"/>
              <w:rPr>
                <w:color w:val="000000"/>
                <w:lang w:val="uk-UA"/>
              </w:rPr>
            </w:pPr>
            <w:r w:rsidRPr="0072251B">
              <w:rPr>
                <w:color w:val="000000"/>
                <w:lang w:val="uk-UA"/>
              </w:rPr>
              <w:t>2 095,4</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2 094,9</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25,3</w:t>
            </w:r>
          </w:p>
        </w:tc>
        <w:tc>
          <w:tcPr>
            <w:tcW w:w="1074" w:type="dxa"/>
            <w:vAlign w:val="bottom"/>
          </w:tcPr>
          <w:p w:rsidR="00132B0E" w:rsidRPr="0072251B" w:rsidRDefault="00132B0E" w:rsidP="009E59C0">
            <w:pPr>
              <w:jc w:val="right"/>
              <w:rPr>
                <w:color w:val="000000"/>
                <w:lang w:val="uk-UA"/>
              </w:rPr>
            </w:pPr>
            <w:r w:rsidRPr="0072251B">
              <w:rPr>
                <w:color w:val="000000"/>
                <w:lang w:val="uk-UA"/>
              </w:rPr>
              <w:t>25,3</w:t>
            </w:r>
          </w:p>
        </w:tc>
      </w:tr>
      <w:tr w:rsidR="00132B0E" w:rsidRPr="0072251B" w:rsidTr="004552B4">
        <w:trPr>
          <w:trHeight w:val="20"/>
        </w:trPr>
        <w:tc>
          <w:tcPr>
            <w:tcW w:w="2885" w:type="dxa"/>
            <w:vAlign w:val="bottom"/>
          </w:tcPr>
          <w:p w:rsidR="00132B0E" w:rsidRPr="005B5A60" w:rsidRDefault="005B5A60">
            <w:pPr>
              <w:rPr>
                <w:color w:val="000000"/>
                <w:lang w:val="en-US"/>
              </w:rPr>
            </w:pPr>
            <w:r>
              <w:rPr>
                <w:color w:val="000000"/>
                <w:lang w:val="en-US"/>
              </w:rPr>
              <w:t>Property insurance</w:t>
            </w:r>
          </w:p>
        </w:tc>
        <w:tc>
          <w:tcPr>
            <w:tcW w:w="1080" w:type="dxa"/>
            <w:vAlign w:val="bottom"/>
          </w:tcPr>
          <w:p w:rsidR="00132B0E" w:rsidRPr="0072251B" w:rsidRDefault="00132B0E" w:rsidP="009E59C0">
            <w:pPr>
              <w:jc w:val="right"/>
              <w:rPr>
                <w:color w:val="000000"/>
                <w:lang w:val="uk-UA"/>
              </w:rPr>
            </w:pPr>
            <w:r w:rsidRPr="0072251B">
              <w:rPr>
                <w:color w:val="000000"/>
                <w:lang w:val="uk-UA"/>
              </w:rPr>
              <w:t>262,5</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260,6</w:t>
            </w:r>
          </w:p>
        </w:tc>
        <w:tc>
          <w:tcPr>
            <w:tcW w:w="1107" w:type="dxa"/>
            <w:vAlign w:val="bottom"/>
          </w:tcPr>
          <w:p w:rsidR="00132B0E" w:rsidRPr="0072251B" w:rsidRDefault="00132B0E" w:rsidP="009E59C0">
            <w:pPr>
              <w:jc w:val="right"/>
              <w:rPr>
                <w:color w:val="000000"/>
                <w:lang w:val="uk-UA"/>
              </w:rPr>
            </w:pPr>
            <w:r w:rsidRPr="0072251B">
              <w:rPr>
                <w:color w:val="000000"/>
                <w:lang w:val="uk-UA"/>
              </w:rPr>
              <w:t>1 423,6</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1 412,4</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442,3</w:t>
            </w:r>
          </w:p>
        </w:tc>
        <w:tc>
          <w:tcPr>
            <w:tcW w:w="1074" w:type="dxa"/>
            <w:vAlign w:val="bottom"/>
          </w:tcPr>
          <w:p w:rsidR="00132B0E" w:rsidRPr="0072251B" w:rsidRDefault="00132B0E" w:rsidP="009E59C0">
            <w:pPr>
              <w:jc w:val="right"/>
              <w:rPr>
                <w:color w:val="000000"/>
                <w:lang w:val="uk-UA"/>
              </w:rPr>
            </w:pPr>
            <w:r w:rsidRPr="0072251B">
              <w:rPr>
                <w:color w:val="000000"/>
                <w:lang w:val="uk-UA"/>
              </w:rPr>
              <w:t>442,0</w:t>
            </w:r>
          </w:p>
        </w:tc>
      </w:tr>
      <w:tr w:rsidR="00132B0E" w:rsidRPr="0072251B" w:rsidTr="004552B4">
        <w:trPr>
          <w:trHeight w:val="20"/>
        </w:trPr>
        <w:tc>
          <w:tcPr>
            <w:tcW w:w="2885" w:type="dxa"/>
            <w:vAlign w:val="bottom"/>
          </w:tcPr>
          <w:p w:rsidR="00132B0E" w:rsidRPr="005B5A60" w:rsidRDefault="005B5A60">
            <w:pPr>
              <w:rPr>
                <w:color w:val="000000"/>
                <w:lang w:val="en-US"/>
              </w:rPr>
            </w:pPr>
            <w:r>
              <w:rPr>
                <w:color w:val="000000"/>
                <w:lang w:val="en-US"/>
              </w:rPr>
              <w:t>Financial risk management</w:t>
            </w:r>
          </w:p>
        </w:tc>
        <w:tc>
          <w:tcPr>
            <w:tcW w:w="1080" w:type="dxa"/>
            <w:vAlign w:val="bottom"/>
          </w:tcPr>
          <w:p w:rsidR="00132B0E" w:rsidRPr="0072251B" w:rsidRDefault="00132B0E" w:rsidP="009E59C0">
            <w:pPr>
              <w:jc w:val="right"/>
              <w:rPr>
                <w:color w:val="000000"/>
                <w:lang w:val="uk-UA"/>
              </w:rPr>
            </w:pPr>
            <w:r w:rsidRPr="0072251B">
              <w:rPr>
                <w:color w:val="000000"/>
                <w:lang w:val="uk-UA"/>
              </w:rPr>
              <w:t>1 879,2</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1 803,6</w:t>
            </w:r>
          </w:p>
        </w:tc>
        <w:tc>
          <w:tcPr>
            <w:tcW w:w="1107" w:type="dxa"/>
            <w:vAlign w:val="bottom"/>
          </w:tcPr>
          <w:p w:rsidR="00132B0E" w:rsidRPr="0072251B" w:rsidRDefault="00132B0E" w:rsidP="009E59C0">
            <w:pPr>
              <w:jc w:val="right"/>
              <w:rPr>
                <w:color w:val="000000"/>
                <w:lang w:val="uk-UA"/>
              </w:rPr>
            </w:pPr>
            <w:r w:rsidRPr="0072251B">
              <w:rPr>
                <w:color w:val="000000"/>
                <w:lang w:val="uk-UA"/>
              </w:rPr>
              <w:t>1 585,0</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1 393,4</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-15,7</w:t>
            </w:r>
          </w:p>
        </w:tc>
        <w:tc>
          <w:tcPr>
            <w:tcW w:w="1074" w:type="dxa"/>
            <w:vAlign w:val="bottom"/>
          </w:tcPr>
          <w:p w:rsidR="00132B0E" w:rsidRPr="0072251B" w:rsidRDefault="00132B0E" w:rsidP="009E59C0">
            <w:pPr>
              <w:jc w:val="right"/>
              <w:rPr>
                <w:color w:val="000000"/>
                <w:lang w:val="uk-UA"/>
              </w:rPr>
            </w:pPr>
            <w:r w:rsidRPr="0072251B">
              <w:rPr>
                <w:color w:val="000000"/>
                <w:lang w:val="uk-UA"/>
              </w:rPr>
              <w:t>-22,7</w:t>
            </w:r>
          </w:p>
        </w:tc>
      </w:tr>
      <w:tr w:rsidR="00132B0E" w:rsidRPr="0072251B" w:rsidTr="004552B4">
        <w:trPr>
          <w:trHeight w:val="20"/>
        </w:trPr>
        <w:tc>
          <w:tcPr>
            <w:tcW w:w="2885" w:type="dxa"/>
            <w:vAlign w:val="bottom"/>
          </w:tcPr>
          <w:p w:rsidR="00132B0E" w:rsidRPr="005B5A60" w:rsidRDefault="005B5A60">
            <w:pPr>
              <w:rPr>
                <w:lang w:val="en-US"/>
              </w:rPr>
            </w:pPr>
            <w:r>
              <w:rPr>
                <w:lang w:val="en-US"/>
              </w:rPr>
              <w:t>Life insurance</w:t>
            </w:r>
          </w:p>
        </w:tc>
        <w:tc>
          <w:tcPr>
            <w:tcW w:w="1080" w:type="dxa"/>
            <w:vAlign w:val="bottom"/>
          </w:tcPr>
          <w:p w:rsidR="00132B0E" w:rsidRPr="0072251B" w:rsidRDefault="00132B0E" w:rsidP="009E59C0">
            <w:pPr>
              <w:jc w:val="right"/>
              <w:rPr>
                <w:color w:val="000000"/>
                <w:lang w:val="uk-UA"/>
              </w:rPr>
            </w:pPr>
            <w:r w:rsidRPr="0072251B">
              <w:rPr>
                <w:color w:val="000000"/>
                <w:lang w:val="uk-UA"/>
              </w:rPr>
              <w:t>556,3</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556,3</w:t>
            </w:r>
          </w:p>
        </w:tc>
        <w:tc>
          <w:tcPr>
            <w:tcW w:w="1107" w:type="dxa"/>
            <w:vAlign w:val="bottom"/>
          </w:tcPr>
          <w:p w:rsidR="00132B0E" w:rsidRPr="0072251B" w:rsidRDefault="00132B0E" w:rsidP="009E59C0">
            <w:pPr>
              <w:jc w:val="right"/>
              <w:rPr>
                <w:color w:val="000000"/>
                <w:lang w:val="uk-UA"/>
              </w:rPr>
            </w:pPr>
            <w:r w:rsidRPr="0072251B">
              <w:rPr>
                <w:color w:val="000000"/>
                <w:lang w:val="uk-UA"/>
              </w:rPr>
              <w:t>704,9</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704,9</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26,7</w:t>
            </w:r>
          </w:p>
        </w:tc>
        <w:tc>
          <w:tcPr>
            <w:tcW w:w="1074" w:type="dxa"/>
            <w:vAlign w:val="bottom"/>
          </w:tcPr>
          <w:p w:rsidR="00132B0E" w:rsidRPr="0072251B" w:rsidRDefault="00132B0E" w:rsidP="009E59C0">
            <w:pPr>
              <w:jc w:val="right"/>
              <w:rPr>
                <w:color w:val="000000"/>
                <w:lang w:val="uk-UA"/>
              </w:rPr>
            </w:pPr>
            <w:r w:rsidRPr="0072251B">
              <w:rPr>
                <w:color w:val="000000"/>
                <w:lang w:val="uk-UA"/>
              </w:rPr>
              <w:t>26,7</w:t>
            </w:r>
          </w:p>
        </w:tc>
      </w:tr>
      <w:tr w:rsidR="00132B0E" w:rsidRPr="0072251B" w:rsidTr="004552B4">
        <w:trPr>
          <w:trHeight w:val="20"/>
        </w:trPr>
        <w:tc>
          <w:tcPr>
            <w:tcW w:w="2885" w:type="dxa"/>
            <w:vAlign w:val="bottom"/>
          </w:tcPr>
          <w:p w:rsidR="00132B0E" w:rsidRPr="0072251B" w:rsidRDefault="005B5A60">
            <w:pPr>
              <w:rPr>
                <w:color w:val="000000"/>
                <w:lang w:val="uk-UA"/>
              </w:rPr>
            </w:pPr>
            <w:r w:rsidRPr="005B5A60">
              <w:rPr>
                <w:color w:val="000000"/>
                <w:lang w:val="uk-UA"/>
              </w:rPr>
              <w:t>Medical expenses insurance</w:t>
            </w:r>
          </w:p>
        </w:tc>
        <w:tc>
          <w:tcPr>
            <w:tcW w:w="1080" w:type="dxa"/>
            <w:vAlign w:val="bottom"/>
          </w:tcPr>
          <w:p w:rsidR="00132B0E" w:rsidRPr="0072251B" w:rsidRDefault="00132B0E" w:rsidP="009E59C0">
            <w:pPr>
              <w:jc w:val="right"/>
              <w:rPr>
                <w:color w:val="000000"/>
                <w:lang w:val="uk-UA"/>
              </w:rPr>
            </w:pPr>
            <w:r w:rsidRPr="0072251B">
              <w:rPr>
                <w:color w:val="000000"/>
                <w:lang w:val="uk-UA"/>
              </w:rPr>
              <w:t>263,5</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261,4</w:t>
            </w:r>
          </w:p>
        </w:tc>
        <w:tc>
          <w:tcPr>
            <w:tcW w:w="1107" w:type="dxa"/>
            <w:vAlign w:val="bottom"/>
          </w:tcPr>
          <w:p w:rsidR="00132B0E" w:rsidRPr="0072251B" w:rsidRDefault="00132B0E" w:rsidP="009E59C0">
            <w:pPr>
              <w:jc w:val="right"/>
              <w:rPr>
                <w:color w:val="000000"/>
                <w:lang w:val="uk-UA"/>
              </w:rPr>
            </w:pPr>
            <w:r w:rsidRPr="0072251B">
              <w:rPr>
                <w:color w:val="000000"/>
                <w:lang w:val="uk-UA"/>
              </w:rPr>
              <w:t>312,8</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311,5</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18,7</w:t>
            </w:r>
          </w:p>
        </w:tc>
        <w:tc>
          <w:tcPr>
            <w:tcW w:w="1074" w:type="dxa"/>
            <w:vAlign w:val="bottom"/>
          </w:tcPr>
          <w:p w:rsidR="00132B0E" w:rsidRPr="0072251B" w:rsidRDefault="00132B0E" w:rsidP="009E59C0">
            <w:pPr>
              <w:jc w:val="right"/>
              <w:rPr>
                <w:color w:val="000000"/>
                <w:lang w:val="uk-UA"/>
              </w:rPr>
            </w:pPr>
            <w:r w:rsidRPr="0072251B">
              <w:rPr>
                <w:color w:val="000000"/>
                <w:lang w:val="uk-UA"/>
              </w:rPr>
              <w:t>19,2</w:t>
            </w:r>
          </w:p>
        </w:tc>
      </w:tr>
      <w:tr w:rsidR="00132B0E" w:rsidRPr="0072251B" w:rsidTr="004552B4">
        <w:trPr>
          <w:trHeight w:val="20"/>
        </w:trPr>
        <w:tc>
          <w:tcPr>
            <w:tcW w:w="2885" w:type="dxa"/>
            <w:vAlign w:val="bottom"/>
          </w:tcPr>
          <w:p w:rsidR="00132B0E" w:rsidRPr="0072251B" w:rsidRDefault="005B5A60">
            <w:pPr>
              <w:rPr>
                <w:color w:val="000000"/>
                <w:lang w:val="uk-UA"/>
              </w:rPr>
            </w:pPr>
            <w:r w:rsidRPr="005B5A60">
              <w:rPr>
                <w:color w:val="000000"/>
                <w:lang w:val="uk-UA"/>
              </w:rPr>
              <w:t>Insurance against fire risks and risks of natural disasters</w:t>
            </w:r>
          </w:p>
        </w:tc>
        <w:tc>
          <w:tcPr>
            <w:tcW w:w="1080" w:type="dxa"/>
            <w:vAlign w:val="bottom"/>
          </w:tcPr>
          <w:p w:rsidR="00132B0E" w:rsidRPr="0072251B" w:rsidRDefault="00132B0E" w:rsidP="009E59C0">
            <w:pPr>
              <w:jc w:val="right"/>
              <w:rPr>
                <w:color w:val="000000"/>
                <w:lang w:val="uk-UA"/>
              </w:rPr>
            </w:pPr>
            <w:r w:rsidRPr="0072251B">
              <w:rPr>
                <w:color w:val="000000"/>
                <w:lang w:val="uk-UA"/>
              </w:rPr>
              <w:t>167,2</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165,1</w:t>
            </w:r>
          </w:p>
        </w:tc>
        <w:tc>
          <w:tcPr>
            <w:tcW w:w="1107" w:type="dxa"/>
            <w:vAlign w:val="bottom"/>
          </w:tcPr>
          <w:p w:rsidR="00132B0E" w:rsidRPr="0072251B" w:rsidRDefault="00132B0E" w:rsidP="009E59C0">
            <w:pPr>
              <w:jc w:val="right"/>
              <w:rPr>
                <w:color w:val="000000"/>
                <w:lang w:val="uk-UA"/>
              </w:rPr>
            </w:pPr>
            <w:r w:rsidRPr="0072251B">
              <w:rPr>
                <w:color w:val="000000"/>
                <w:lang w:val="uk-UA"/>
              </w:rPr>
              <w:t>262,4</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249,7</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56,9</w:t>
            </w:r>
          </w:p>
        </w:tc>
        <w:tc>
          <w:tcPr>
            <w:tcW w:w="1074" w:type="dxa"/>
            <w:vAlign w:val="bottom"/>
          </w:tcPr>
          <w:p w:rsidR="00132B0E" w:rsidRPr="0072251B" w:rsidRDefault="00132B0E" w:rsidP="009E59C0">
            <w:pPr>
              <w:jc w:val="right"/>
              <w:rPr>
                <w:color w:val="000000"/>
                <w:lang w:val="uk-UA"/>
              </w:rPr>
            </w:pPr>
            <w:r w:rsidRPr="0072251B">
              <w:rPr>
                <w:color w:val="000000"/>
                <w:lang w:val="uk-UA"/>
              </w:rPr>
              <w:t>51,2</w:t>
            </w:r>
          </w:p>
        </w:tc>
      </w:tr>
      <w:tr w:rsidR="00132B0E" w:rsidRPr="0072251B" w:rsidTr="004552B4">
        <w:trPr>
          <w:trHeight w:val="20"/>
        </w:trPr>
        <w:tc>
          <w:tcPr>
            <w:tcW w:w="2885" w:type="dxa"/>
            <w:vAlign w:val="bottom"/>
          </w:tcPr>
          <w:p w:rsidR="00132B0E" w:rsidRPr="0072251B" w:rsidRDefault="005B5A60">
            <w:pPr>
              <w:rPr>
                <w:lang w:val="uk-UA"/>
              </w:rPr>
            </w:pPr>
            <w:r w:rsidRPr="005B5A60">
              <w:rPr>
                <w:lang w:val="uk-UA"/>
              </w:rPr>
              <w:t>Cargo and baggage insurance</w:t>
            </w:r>
          </w:p>
        </w:tc>
        <w:tc>
          <w:tcPr>
            <w:tcW w:w="1080" w:type="dxa"/>
            <w:vAlign w:val="bottom"/>
          </w:tcPr>
          <w:p w:rsidR="00132B0E" w:rsidRPr="0072251B" w:rsidRDefault="00132B0E" w:rsidP="009E59C0">
            <w:pPr>
              <w:jc w:val="right"/>
              <w:rPr>
                <w:color w:val="000000"/>
                <w:lang w:val="uk-UA"/>
              </w:rPr>
            </w:pPr>
            <w:r w:rsidRPr="0072251B">
              <w:rPr>
                <w:color w:val="000000"/>
                <w:lang w:val="uk-UA"/>
              </w:rPr>
              <w:t>66,1</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63,9</w:t>
            </w:r>
          </w:p>
        </w:tc>
        <w:tc>
          <w:tcPr>
            <w:tcW w:w="1107" w:type="dxa"/>
            <w:vAlign w:val="bottom"/>
          </w:tcPr>
          <w:p w:rsidR="00132B0E" w:rsidRPr="0072251B" w:rsidRDefault="00132B0E" w:rsidP="009E59C0">
            <w:pPr>
              <w:jc w:val="right"/>
              <w:rPr>
                <w:color w:val="000000"/>
                <w:lang w:val="uk-UA"/>
              </w:rPr>
            </w:pPr>
            <w:r w:rsidRPr="0072251B">
              <w:rPr>
                <w:color w:val="000000"/>
                <w:lang w:val="uk-UA"/>
              </w:rPr>
              <w:t>122,1</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119,3</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84,7</w:t>
            </w:r>
          </w:p>
        </w:tc>
        <w:tc>
          <w:tcPr>
            <w:tcW w:w="1074" w:type="dxa"/>
            <w:vAlign w:val="bottom"/>
          </w:tcPr>
          <w:p w:rsidR="00132B0E" w:rsidRPr="0072251B" w:rsidRDefault="00132B0E" w:rsidP="009E59C0">
            <w:pPr>
              <w:jc w:val="right"/>
              <w:rPr>
                <w:color w:val="000000"/>
                <w:lang w:val="uk-UA"/>
              </w:rPr>
            </w:pPr>
            <w:r w:rsidRPr="0072251B">
              <w:rPr>
                <w:color w:val="000000"/>
                <w:lang w:val="uk-UA"/>
              </w:rPr>
              <w:t>86,7</w:t>
            </w:r>
          </w:p>
        </w:tc>
      </w:tr>
      <w:tr w:rsidR="00132B0E" w:rsidRPr="0072251B" w:rsidTr="004552B4">
        <w:trPr>
          <w:trHeight w:val="20"/>
        </w:trPr>
        <w:tc>
          <w:tcPr>
            <w:tcW w:w="2885" w:type="dxa"/>
            <w:vAlign w:val="bottom"/>
          </w:tcPr>
          <w:p w:rsidR="00132B0E" w:rsidRPr="005B5A60" w:rsidRDefault="005B5A60">
            <w:pPr>
              <w:rPr>
                <w:color w:val="000000"/>
                <w:lang w:val="en-US"/>
              </w:rPr>
            </w:pPr>
            <w:r>
              <w:rPr>
                <w:color w:val="000000"/>
                <w:lang w:val="en-US"/>
              </w:rPr>
              <w:t>Insurance of loans</w:t>
            </w:r>
          </w:p>
        </w:tc>
        <w:tc>
          <w:tcPr>
            <w:tcW w:w="1080" w:type="dxa"/>
            <w:vAlign w:val="bottom"/>
          </w:tcPr>
          <w:p w:rsidR="00132B0E" w:rsidRPr="0072251B" w:rsidRDefault="00132B0E" w:rsidP="009E59C0">
            <w:pPr>
              <w:jc w:val="right"/>
              <w:rPr>
                <w:color w:val="000000"/>
                <w:lang w:val="uk-UA"/>
              </w:rPr>
            </w:pPr>
            <w:r w:rsidRPr="0072251B">
              <w:rPr>
                <w:color w:val="000000"/>
                <w:lang w:val="uk-UA"/>
              </w:rPr>
              <w:t>261,3</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261,3</w:t>
            </w:r>
          </w:p>
        </w:tc>
        <w:tc>
          <w:tcPr>
            <w:tcW w:w="1107" w:type="dxa"/>
            <w:vAlign w:val="bottom"/>
          </w:tcPr>
          <w:p w:rsidR="00132B0E" w:rsidRPr="0072251B" w:rsidRDefault="00132B0E" w:rsidP="009E59C0">
            <w:pPr>
              <w:jc w:val="right"/>
              <w:rPr>
                <w:color w:val="000000"/>
                <w:lang w:val="uk-UA"/>
              </w:rPr>
            </w:pPr>
            <w:r w:rsidRPr="0072251B">
              <w:rPr>
                <w:color w:val="000000"/>
                <w:lang w:val="uk-UA"/>
              </w:rPr>
              <w:t>78,0</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78,0</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-70,1</w:t>
            </w:r>
          </w:p>
        </w:tc>
        <w:tc>
          <w:tcPr>
            <w:tcW w:w="1074" w:type="dxa"/>
            <w:vAlign w:val="bottom"/>
          </w:tcPr>
          <w:p w:rsidR="00132B0E" w:rsidRPr="0072251B" w:rsidRDefault="00132B0E" w:rsidP="009E59C0">
            <w:pPr>
              <w:jc w:val="right"/>
              <w:rPr>
                <w:color w:val="000000"/>
                <w:lang w:val="uk-UA"/>
              </w:rPr>
            </w:pPr>
            <w:r w:rsidRPr="0072251B">
              <w:rPr>
                <w:color w:val="000000"/>
                <w:lang w:val="uk-UA"/>
              </w:rPr>
              <w:t>-70,1</w:t>
            </w:r>
          </w:p>
        </w:tc>
      </w:tr>
      <w:tr w:rsidR="00132B0E" w:rsidRPr="0072251B" w:rsidTr="004552B4">
        <w:trPr>
          <w:trHeight w:val="20"/>
        </w:trPr>
        <w:tc>
          <w:tcPr>
            <w:tcW w:w="2885" w:type="dxa"/>
            <w:noWrap/>
            <w:vAlign w:val="bottom"/>
          </w:tcPr>
          <w:p w:rsidR="00132B0E" w:rsidRPr="00646851" w:rsidRDefault="00646851">
            <w:pPr>
              <w:rPr>
                <w:lang w:val="en-US"/>
              </w:rPr>
            </w:pPr>
            <w:r>
              <w:rPr>
                <w:lang w:val="en-US"/>
              </w:rPr>
              <w:t>Other types of insurance</w:t>
            </w:r>
          </w:p>
        </w:tc>
        <w:tc>
          <w:tcPr>
            <w:tcW w:w="1080" w:type="dxa"/>
            <w:vAlign w:val="bottom"/>
          </w:tcPr>
          <w:p w:rsidR="00132B0E" w:rsidRPr="0072251B" w:rsidRDefault="00132B0E" w:rsidP="009E59C0">
            <w:pPr>
              <w:jc w:val="right"/>
              <w:rPr>
                <w:color w:val="000000"/>
                <w:lang w:val="uk-UA"/>
              </w:rPr>
            </w:pPr>
            <w:r w:rsidRPr="0072251B">
              <w:rPr>
                <w:color w:val="000000"/>
                <w:lang w:val="uk-UA"/>
              </w:rPr>
              <w:t>410,9</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410,1</w:t>
            </w:r>
          </w:p>
        </w:tc>
        <w:tc>
          <w:tcPr>
            <w:tcW w:w="1107" w:type="dxa"/>
            <w:vAlign w:val="bottom"/>
          </w:tcPr>
          <w:p w:rsidR="00132B0E" w:rsidRPr="0072251B" w:rsidRDefault="00132B0E" w:rsidP="009E59C0">
            <w:pPr>
              <w:jc w:val="right"/>
              <w:rPr>
                <w:color w:val="000000"/>
                <w:lang w:val="uk-UA"/>
              </w:rPr>
            </w:pPr>
            <w:r w:rsidRPr="0072251B">
              <w:rPr>
                <w:color w:val="000000"/>
                <w:lang w:val="uk-UA"/>
              </w:rPr>
              <w:t>447,6</w:t>
            </w:r>
          </w:p>
        </w:tc>
        <w:tc>
          <w:tcPr>
            <w:tcW w:w="1080" w:type="dxa"/>
            <w:noWrap/>
            <w:vAlign w:val="bottom"/>
          </w:tcPr>
          <w:p w:rsidR="00132B0E" w:rsidRPr="0072251B" w:rsidRDefault="00132B0E" w:rsidP="009E59C0">
            <w:pPr>
              <w:jc w:val="right"/>
              <w:rPr>
                <w:color w:val="000000"/>
                <w:lang w:val="uk-UA"/>
              </w:rPr>
            </w:pPr>
            <w:r w:rsidRPr="0072251B">
              <w:rPr>
                <w:color w:val="000000"/>
                <w:lang w:val="uk-UA"/>
              </w:rPr>
              <w:t>444,7</w:t>
            </w:r>
          </w:p>
        </w:tc>
        <w:tc>
          <w:tcPr>
            <w:tcW w:w="1260" w:type="dxa"/>
            <w:gridSpan w:val="2"/>
            <w:noWrap/>
            <w:vAlign w:val="bottom"/>
          </w:tcPr>
          <w:p w:rsidR="00132B0E" w:rsidRPr="0072251B" w:rsidRDefault="00132B0E" w:rsidP="009E59C0">
            <w:pPr>
              <w:jc w:val="right"/>
              <w:rPr>
                <w:color w:val="000000"/>
                <w:lang w:val="uk-UA"/>
              </w:rPr>
            </w:pPr>
            <w:r w:rsidRPr="0072251B">
              <w:rPr>
                <w:color w:val="000000"/>
                <w:lang w:val="uk-UA"/>
              </w:rPr>
              <w:t>8,9</w:t>
            </w:r>
          </w:p>
        </w:tc>
        <w:tc>
          <w:tcPr>
            <w:tcW w:w="1074" w:type="dxa"/>
            <w:vAlign w:val="bottom"/>
          </w:tcPr>
          <w:p w:rsidR="00132B0E" w:rsidRPr="0072251B" w:rsidRDefault="00132B0E" w:rsidP="009E59C0">
            <w:pPr>
              <w:jc w:val="right"/>
              <w:rPr>
                <w:color w:val="000000"/>
                <w:lang w:val="uk-UA"/>
              </w:rPr>
            </w:pPr>
            <w:r w:rsidRPr="0072251B">
              <w:rPr>
                <w:color w:val="000000"/>
                <w:lang w:val="uk-UA"/>
              </w:rPr>
              <w:t>8,4</w:t>
            </w:r>
          </w:p>
        </w:tc>
      </w:tr>
      <w:tr w:rsidR="00132B0E" w:rsidRPr="0072251B" w:rsidTr="004552B4">
        <w:trPr>
          <w:trHeight w:val="20"/>
        </w:trPr>
        <w:tc>
          <w:tcPr>
            <w:tcW w:w="2885" w:type="dxa"/>
            <w:noWrap/>
            <w:vAlign w:val="bottom"/>
          </w:tcPr>
          <w:p w:rsidR="00132B0E" w:rsidRPr="00646851" w:rsidRDefault="00646851">
            <w:pPr>
              <w:rPr>
                <w:b/>
                <w:bCs/>
                <w:color w:val="000000"/>
                <w:lang w:val="en-US"/>
              </w:rPr>
            </w:pPr>
            <w:r>
              <w:rPr>
                <w:b/>
                <w:bCs/>
                <w:color w:val="000000"/>
                <w:lang w:val="en-US"/>
              </w:rPr>
              <w:t>Total</w:t>
            </w:r>
          </w:p>
        </w:tc>
        <w:tc>
          <w:tcPr>
            <w:tcW w:w="1080" w:type="dxa"/>
            <w:vAlign w:val="bottom"/>
          </w:tcPr>
          <w:p w:rsidR="00132B0E" w:rsidRPr="0072251B" w:rsidRDefault="00132B0E" w:rsidP="009E59C0">
            <w:pPr>
              <w:jc w:val="right"/>
              <w:rPr>
                <w:b/>
                <w:bCs/>
                <w:color w:val="000000"/>
                <w:lang w:val="uk-UA"/>
              </w:rPr>
            </w:pPr>
            <w:r w:rsidRPr="0072251B">
              <w:rPr>
                <w:b/>
                <w:bCs/>
                <w:color w:val="000000"/>
                <w:lang w:val="uk-UA"/>
              </w:rPr>
              <w:t>10 536,8</w:t>
            </w:r>
          </w:p>
        </w:tc>
        <w:tc>
          <w:tcPr>
            <w:tcW w:w="1080" w:type="dxa"/>
            <w:noWrap/>
            <w:vAlign w:val="bottom"/>
          </w:tcPr>
          <w:p w:rsidR="00132B0E" w:rsidRPr="0072251B" w:rsidRDefault="00132B0E" w:rsidP="009E59C0">
            <w:pPr>
              <w:jc w:val="right"/>
              <w:rPr>
                <w:b/>
                <w:bCs/>
                <w:color w:val="000000"/>
                <w:lang w:val="uk-UA"/>
              </w:rPr>
            </w:pPr>
            <w:r w:rsidRPr="0072251B">
              <w:rPr>
                <w:b/>
                <w:bCs/>
                <w:color w:val="000000"/>
                <w:lang w:val="uk-UA"/>
              </w:rPr>
              <w:t>10 256,8</w:t>
            </w:r>
          </w:p>
        </w:tc>
        <w:tc>
          <w:tcPr>
            <w:tcW w:w="1107" w:type="dxa"/>
            <w:vAlign w:val="bottom"/>
          </w:tcPr>
          <w:p w:rsidR="00132B0E" w:rsidRPr="0072251B" w:rsidRDefault="00132B0E" w:rsidP="009E59C0">
            <w:pPr>
              <w:jc w:val="right"/>
              <w:rPr>
                <w:b/>
                <w:bCs/>
                <w:color w:val="000000"/>
                <w:lang w:val="uk-UA"/>
              </w:rPr>
            </w:pPr>
            <w:r w:rsidRPr="0072251B">
              <w:rPr>
                <w:b/>
                <w:bCs/>
                <w:color w:val="000000"/>
                <w:lang w:val="uk-UA"/>
              </w:rPr>
              <w:t>12 863,4</w:t>
            </w:r>
          </w:p>
        </w:tc>
        <w:tc>
          <w:tcPr>
            <w:tcW w:w="1080" w:type="dxa"/>
            <w:noWrap/>
            <w:vAlign w:val="bottom"/>
          </w:tcPr>
          <w:p w:rsidR="00132B0E" w:rsidRPr="0072251B" w:rsidRDefault="00132B0E" w:rsidP="009E59C0">
            <w:pPr>
              <w:jc w:val="right"/>
              <w:rPr>
                <w:b/>
                <w:bCs/>
                <w:color w:val="000000"/>
                <w:lang w:val="uk-UA"/>
              </w:rPr>
            </w:pPr>
            <w:r w:rsidRPr="0072251B">
              <w:rPr>
                <w:b/>
                <w:bCs/>
                <w:color w:val="000000"/>
                <w:lang w:val="uk-UA"/>
              </w:rPr>
              <w:t>12 432,6</w:t>
            </w:r>
          </w:p>
        </w:tc>
        <w:tc>
          <w:tcPr>
            <w:tcW w:w="1260" w:type="dxa"/>
            <w:gridSpan w:val="2"/>
            <w:noWrap/>
            <w:vAlign w:val="bottom"/>
          </w:tcPr>
          <w:p w:rsidR="00132B0E" w:rsidRPr="0072251B" w:rsidRDefault="00132B0E" w:rsidP="009E59C0">
            <w:pPr>
              <w:jc w:val="right"/>
              <w:rPr>
                <w:b/>
                <w:color w:val="000000"/>
                <w:lang w:val="uk-UA"/>
              </w:rPr>
            </w:pPr>
            <w:r w:rsidRPr="0072251B">
              <w:rPr>
                <w:b/>
                <w:color w:val="000000"/>
                <w:lang w:val="uk-UA"/>
              </w:rPr>
              <w:t>22,1</w:t>
            </w:r>
          </w:p>
        </w:tc>
        <w:tc>
          <w:tcPr>
            <w:tcW w:w="1074" w:type="dxa"/>
            <w:vAlign w:val="bottom"/>
          </w:tcPr>
          <w:p w:rsidR="00132B0E" w:rsidRPr="0072251B" w:rsidRDefault="00132B0E" w:rsidP="009E59C0">
            <w:pPr>
              <w:jc w:val="right"/>
              <w:rPr>
                <w:b/>
                <w:color w:val="000000"/>
                <w:lang w:val="uk-UA"/>
              </w:rPr>
            </w:pPr>
            <w:r w:rsidRPr="0072251B">
              <w:rPr>
                <w:b/>
                <w:color w:val="000000"/>
                <w:lang w:val="uk-UA"/>
              </w:rPr>
              <w:t>21,2</w:t>
            </w:r>
          </w:p>
        </w:tc>
      </w:tr>
    </w:tbl>
    <w:p w:rsidR="00132B0E" w:rsidRPr="0072251B" w:rsidRDefault="00132B0E" w:rsidP="006B6D8E">
      <w:pPr>
        <w:autoSpaceDE w:val="0"/>
        <w:autoSpaceDN w:val="0"/>
        <w:adjustRightInd w:val="0"/>
        <w:ind w:firstLine="720"/>
        <w:jc w:val="both"/>
        <w:rPr>
          <w:b/>
          <w:sz w:val="28"/>
          <w:szCs w:val="28"/>
          <w:lang w:val="uk-UA"/>
        </w:rPr>
      </w:pPr>
    </w:p>
    <w:p w:rsidR="009E6205" w:rsidRDefault="009E6205" w:rsidP="00106404">
      <w:pPr>
        <w:pStyle w:val="21"/>
        <w:spacing w:after="0" w:line="240" w:lineRule="auto"/>
        <w:ind w:left="0" w:firstLine="720"/>
        <w:jc w:val="both"/>
        <w:rPr>
          <w:sz w:val="28"/>
          <w:szCs w:val="28"/>
          <w:lang w:val="en-US"/>
        </w:rPr>
      </w:pPr>
    </w:p>
    <w:p w:rsidR="009E6205" w:rsidRDefault="009E6205" w:rsidP="00106404">
      <w:pPr>
        <w:pStyle w:val="21"/>
        <w:spacing w:after="0" w:line="240" w:lineRule="auto"/>
        <w:ind w:left="0" w:firstLine="720"/>
        <w:jc w:val="both"/>
        <w:rPr>
          <w:sz w:val="28"/>
          <w:szCs w:val="28"/>
          <w:lang w:val="en-US"/>
        </w:rPr>
      </w:pPr>
      <w:r w:rsidRPr="009E6205">
        <w:rPr>
          <w:sz w:val="28"/>
          <w:szCs w:val="28"/>
          <w:lang w:val="en-US"/>
        </w:rPr>
        <w:t>Increase in net</w:t>
      </w:r>
      <w:r w:rsidR="0097087E">
        <w:rPr>
          <w:sz w:val="28"/>
          <w:szCs w:val="28"/>
          <w:lang w:val="en-US"/>
        </w:rPr>
        <w:t xml:space="preserve"> insurance premiums for 2018(</w:t>
      </w:r>
      <w:r w:rsidRPr="009E6205">
        <w:rPr>
          <w:sz w:val="28"/>
          <w:szCs w:val="28"/>
          <w:lang w:val="en-US"/>
        </w:rPr>
        <w:t xml:space="preserve"> 2,175.8 million</w:t>
      </w:r>
      <w:r w:rsidR="0097087E">
        <w:rPr>
          <w:sz w:val="28"/>
          <w:szCs w:val="28"/>
          <w:lang w:val="en-US"/>
        </w:rPr>
        <w:t xml:space="preserve"> UAH</w:t>
      </w:r>
      <w:r w:rsidRPr="009E6205">
        <w:rPr>
          <w:sz w:val="28"/>
          <w:szCs w:val="28"/>
          <w:lang w:val="en-US"/>
        </w:rPr>
        <w:t>) was due to a significant increase in net insurance payments under prope</w:t>
      </w:r>
      <w:r w:rsidR="0097087E">
        <w:rPr>
          <w:sz w:val="28"/>
          <w:szCs w:val="28"/>
          <w:lang w:val="en-US"/>
        </w:rPr>
        <w:t xml:space="preserve">rty insurance contracts for </w:t>
      </w:r>
      <w:r w:rsidRPr="009E6205">
        <w:rPr>
          <w:sz w:val="28"/>
          <w:szCs w:val="28"/>
          <w:lang w:val="en-US"/>
        </w:rPr>
        <w:t>1 151.8 million</w:t>
      </w:r>
      <w:r w:rsidR="0097087E">
        <w:rPr>
          <w:sz w:val="28"/>
          <w:szCs w:val="28"/>
          <w:lang w:val="en-US"/>
        </w:rPr>
        <w:t xml:space="preserve"> UAH, auto insurance - </w:t>
      </w:r>
      <w:r w:rsidRPr="009E6205">
        <w:rPr>
          <w:sz w:val="28"/>
          <w:szCs w:val="28"/>
          <w:lang w:val="en-US"/>
        </w:rPr>
        <w:t>820.9 million</w:t>
      </w:r>
      <w:r w:rsidR="0097087E">
        <w:rPr>
          <w:sz w:val="28"/>
          <w:szCs w:val="28"/>
          <w:lang w:val="en-US"/>
        </w:rPr>
        <w:t xml:space="preserve"> UAH</w:t>
      </w:r>
      <w:r w:rsidRPr="009E6205">
        <w:rPr>
          <w:sz w:val="28"/>
          <w:szCs w:val="28"/>
          <w:lang w:val="en-US"/>
        </w:rPr>
        <w:t>, medical in</w:t>
      </w:r>
      <w:r w:rsidR="0097087E">
        <w:rPr>
          <w:sz w:val="28"/>
          <w:szCs w:val="28"/>
          <w:lang w:val="en-US"/>
        </w:rPr>
        <w:t xml:space="preserve">surance - </w:t>
      </w:r>
      <w:r>
        <w:rPr>
          <w:sz w:val="28"/>
          <w:szCs w:val="28"/>
          <w:lang w:val="en-US"/>
        </w:rPr>
        <w:t>423.3 million</w:t>
      </w:r>
      <w:r w:rsidR="0097087E">
        <w:rPr>
          <w:sz w:val="28"/>
          <w:szCs w:val="28"/>
          <w:lang w:val="en-US"/>
        </w:rPr>
        <w:t xml:space="preserve"> UAH, life insurance - </w:t>
      </w:r>
      <w:r w:rsidRPr="009E6205">
        <w:rPr>
          <w:sz w:val="28"/>
          <w:szCs w:val="28"/>
          <w:lang w:val="en-US"/>
        </w:rPr>
        <w:t>148.6 m</w:t>
      </w:r>
      <w:r>
        <w:rPr>
          <w:sz w:val="28"/>
          <w:szCs w:val="28"/>
          <w:lang w:val="en-US"/>
        </w:rPr>
        <w:t>il</w:t>
      </w:r>
      <w:r w:rsidRPr="009E6205">
        <w:rPr>
          <w:sz w:val="28"/>
          <w:szCs w:val="28"/>
          <w:lang w:val="en-US"/>
        </w:rPr>
        <w:t>l</w:t>
      </w:r>
      <w:r>
        <w:rPr>
          <w:sz w:val="28"/>
          <w:szCs w:val="28"/>
          <w:lang w:val="en-US"/>
        </w:rPr>
        <w:t>io</w:t>
      </w:r>
      <w:r w:rsidRPr="009E6205">
        <w:rPr>
          <w:sz w:val="28"/>
          <w:szCs w:val="28"/>
          <w:lang w:val="en-US"/>
        </w:rPr>
        <w:t>n</w:t>
      </w:r>
      <w:r w:rsidR="0097087E">
        <w:rPr>
          <w:sz w:val="28"/>
          <w:szCs w:val="28"/>
          <w:lang w:val="en-US"/>
        </w:rPr>
        <w:t xml:space="preserve"> UAH</w:t>
      </w:r>
      <w:r w:rsidRPr="009E6205">
        <w:rPr>
          <w:sz w:val="28"/>
          <w:szCs w:val="28"/>
          <w:lang w:val="en-US"/>
        </w:rPr>
        <w:t>. At the same time, the decline in net insurance payments was observed in the insurance of financial risks - 410.2 million UAH, insurance of loans - 183.3 million UAH.</w:t>
      </w:r>
    </w:p>
    <w:p w:rsidR="009E6205" w:rsidRPr="009E6205" w:rsidRDefault="009E6205" w:rsidP="009E6205">
      <w:pPr>
        <w:ind w:firstLine="720"/>
        <w:jc w:val="both"/>
        <w:rPr>
          <w:sz w:val="28"/>
          <w:szCs w:val="28"/>
          <w:lang w:val="en-US"/>
        </w:rPr>
      </w:pPr>
      <w:r w:rsidRPr="009E6205">
        <w:rPr>
          <w:sz w:val="28"/>
          <w:szCs w:val="28"/>
          <w:lang w:val="en-US"/>
        </w:rPr>
        <w:t xml:space="preserve">In the structure of net insurance payments as of December 31, 2012, the largest share of insurance payments accounted for the following types of insurance: car insurance (CNC insurance, </w:t>
      </w:r>
      <w:r w:rsidR="0097087E">
        <w:rPr>
          <w:sz w:val="28"/>
          <w:szCs w:val="28"/>
          <w:lang w:val="en-US"/>
        </w:rPr>
        <w:t xml:space="preserve">CMTPL, "Green Card") - 5,623.8 million UAH </w:t>
      </w:r>
      <w:r w:rsidRPr="009E6205">
        <w:rPr>
          <w:sz w:val="28"/>
          <w:szCs w:val="28"/>
          <w:lang w:val="en-US"/>
        </w:rPr>
        <w:t>(or 45.2%); medical insurance (con</w:t>
      </w:r>
      <w:r w:rsidR="0097087E">
        <w:rPr>
          <w:sz w:val="28"/>
          <w:szCs w:val="28"/>
          <w:lang w:val="en-US"/>
        </w:rPr>
        <w:t>tinuous health insurance) is</w:t>
      </w:r>
      <w:r w:rsidRPr="009E6205">
        <w:rPr>
          <w:sz w:val="28"/>
          <w:szCs w:val="28"/>
          <w:lang w:val="en-US"/>
        </w:rPr>
        <w:t xml:space="preserve"> 2,094.9 million</w:t>
      </w:r>
      <w:r w:rsidR="0097087E">
        <w:rPr>
          <w:sz w:val="28"/>
          <w:szCs w:val="28"/>
          <w:lang w:val="en-US"/>
        </w:rPr>
        <w:t xml:space="preserve"> UAH</w:t>
      </w:r>
      <w:r w:rsidRPr="009E6205">
        <w:rPr>
          <w:sz w:val="28"/>
          <w:szCs w:val="28"/>
          <w:lang w:val="en-US"/>
        </w:rPr>
        <w:t xml:space="preserve"> (or 16.9%); property </w:t>
      </w:r>
      <w:r w:rsidR="0097087E">
        <w:rPr>
          <w:sz w:val="28"/>
          <w:szCs w:val="28"/>
          <w:lang w:val="en-US"/>
        </w:rPr>
        <w:t>insurance - 1,412.4 million UAH (or 11.4%); f</w:t>
      </w:r>
      <w:r w:rsidRPr="009E6205">
        <w:rPr>
          <w:sz w:val="28"/>
          <w:szCs w:val="28"/>
          <w:lang w:val="en-US"/>
        </w:rPr>
        <w:t>inancial risk insurance - 1,393.4 mill</w:t>
      </w:r>
      <w:r w:rsidR="0097087E">
        <w:rPr>
          <w:sz w:val="28"/>
          <w:szCs w:val="28"/>
          <w:lang w:val="en-US"/>
        </w:rPr>
        <w:t>ion UAH</w:t>
      </w:r>
      <w:r w:rsidRPr="009E6205">
        <w:rPr>
          <w:sz w:val="28"/>
          <w:szCs w:val="28"/>
          <w:lang w:val="en-US"/>
        </w:rPr>
        <w:t xml:space="preserve"> </w:t>
      </w:r>
      <w:r w:rsidR="0097087E">
        <w:rPr>
          <w:sz w:val="28"/>
          <w:szCs w:val="28"/>
          <w:lang w:val="en-US"/>
        </w:rPr>
        <w:t>(or 11.2%); life insurance -  704.9 million UAH</w:t>
      </w:r>
      <w:r w:rsidRPr="009E6205">
        <w:rPr>
          <w:sz w:val="28"/>
          <w:szCs w:val="28"/>
          <w:lang w:val="en-US"/>
        </w:rPr>
        <w:t xml:space="preserve"> (or 5.7%); Medical expenses</w:t>
      </w:r>
      <w:r w:rsidR="0097087E">
        <w:rPr>
          <w:sz w:val="28"/>
          <w:szCs w:val="28"/>
          <w:lang w:val="en-US"/>
        </w:rPr>
        <w:t xml:space="preserve"> insurance - 311.5 thousand UAH</w:t>
      </w:r>
      <w:r w:rsidRPr="009E6205">
        <w:rPr>
          <w:sz w:val="28"/>
          <w:szCs w:val="28"/>
          <w:lang w:val="en-US"/>
        </w:rPr>
        <w:t xml:space="preserve"> (or 2.5%).</w:t>
      </w:r>
    </w:p>
    <w:p w:rsidR="009E6205" w:rsidRDefault="009E6205" w:rsidP="006B6D8E">
      <w:pPr>
        <w:spacing w:line="360" w:lineRule="auto"/>
        <w:ind w:firstLine="720"/>
        <w:jc w:val="both"/>
        <w:rPr>
          <w:b/>
          <w:sz w:val="28"/>
          <w:szCs w:val="28"/>
          <w:lang w:val="en-US"/>
        </w:rPr>
      </w:pPr>
    </w:p>
    <w:p w:rsidR="009E6205" w:rsidRDefault="009E6205" w:rsidP="006B6D8E">
      <w:pPr>
        <w:spacing w:line="360" w:lineRule="auto"/>
        <w:ind w:firstLine="720"/>
        <w:jc w:val="both"/>
        <w:rPr>
          <w:b/>
          <w:sz w:val="28"/>
          <w:szCs w:val="28"/>
          <w:lang w:val="en-US"/>
        </w:rPr>
      </w:pPr>
    </w:p>
    <w:p w:rsidR="009E6205" w:rsidRDefault="009E6205" w:rsidP="006B6D8E">
      <w:pPr>
        <w:spacing w:line="360" w:lineRule="auto"/>
        <w:ind w:firstLine="720"/>
        <w:jc w:val="both"/>
        <w:rPr>
          <w:b/>
          <w:sz w:val="28"/>
          <w:szCs w:val="28"/>
          <w:lang w:val="en-US"/>
        </w:rPr>
      </w:pPr>
    </w:p>
    <w:p w:rsidR="009E6205" w:rsidRDefault="009E6205" w:rsidP="006B6D8E">
      <w:pPr>
        <w:spacing w:line="360" w:lineRule="auto"/>
        <w:ind w:firstLine="720"/>
        <w:jc w:val="both"/>
        <w:rPr>
          <w:b/>
          <w:sz w:val="28"/>
          <w:szCs w:val="28"/>
          <w:lang w:val="en-US"/>
        </w:rPr>
      </w:pPr>
    </w:p>
    <w:p w:rsidR="002F4AB9" w:rsidRPr="0097087E" w:rsidRDefault="002F4AB9" w:rsidP="002F4AB9">
      <w:pPr>
        <w:pStyle w:val="Default"/>
        <w:ind w:firstLine="700"/>
        <w:jc w:val="both"/>
        <w:rPr>
          <w:b/>
          <w:bCs/>
          <w:sz w:val="28"/>
          <w:szCs w:val="28"/>
          <w:lang w:val="en-US"/>
        </w:rPr>
      </w:pPr>
      <w:r w:rsidRPr="0097087E">
        <w:rPr>
          <w:b/>
          <w:bCs/>
          <w:sz w:val="28"/>
          <w:szCs w:val="28"/>
          <w:lang w:val="en-US"/>
        </w:rPr>
        <w:lastRenderedPageBreak/>
        <w:t xml:space="preserve">Individual Insurance </w:t>
      </w:r>
    </w:p>
    <w:p w:rsidR="002F4AB9" w:rsidRPr="002F4AB9" w:rsidRDefault="002F4AB9" w:rsidP="002F4AB9">
      <w:pPr>
        <w:pStyle w:val="Default"/>
        <w:ind w:firstLine="700"/>
        <w:jc w:val="both"/>
        <w:rPr>
          <w:bCs/>
          <w:sz w:val="28"/>
          <w:szCs w:val="28"/>
          <w:lang w:val="en-US"/>
        </w:rPr>
      </w:pPr>
      <w:r w:rsidRPr="002F4AB9">
        <w:rPr>
          <w:bCs/>
          <w:sz w:val="28"/>
          <w:szCs w:val="28"/>
          <w:lang w:val="en-US"/>
        </w:rPr>
        <w:t>From insured individuals for 2018 ye</w:t>
      </w:r>
      <w:r w:rsidR="0097087E">
        <w:rPr>
          <w:bCs/>
          <w:sz w:val="28"/>
          <w:szCs w:val="28"/>
          <w:lang w:val="en-US"/>
        </w:rPr>
        <w:t xml:space="preserve">ar </w:t>
      </w:r>
      <w:proofErr w:type="gramStart"/>
      <w:r w:rsidR="0097087E">
        <w:rPr>
          <w:bCs/>
          <w:sz w:val="28"/>
          <w:szCs w:val="28"/>
          <w:lang w:val="en-US"/>
        </w:rPr>
        <w:t>has</w:t>
      </w:r>
      <w:proofErr w:type="gramEnd"/>
      <w:r w:rsidR="0097087E">
        <w:rPr>
          <w:bCs/>
          <w:sz w:val="28"/>
          <w:szCs w:val="28"/>
          <w:lang w:val="en-US"/>
        </w:rPr>
        <w:t xml:space="preserve"> arrived18 431.0 million </w:t>
      </w:r>
      <w:r w:rsidRPr="002F4AB9">
        <w:rPr>
          <w:bCs/>
          <w:sz w:val="28"/>
          <w:szCs w:val="28"/>
          <w:lang w:val="en-US"/>
        </w:rPr>
        <w:t>UAH gross insurance premiums, which is 18.5% more than for 2017 year.</w:t>
      </w:r>
    </w:p>
    <w:p w:rsidR="002F4AB9" w:rsidRPr="002F4AB9" w:rsidRDefault="002F4AB9" w:rsidP="002F4AB9">
      <w:pPr>
        <w:pStyle w:val="Default"/>
        <w:ind w:firstLine="700"/>
        <w:jc w:val="both"/>
        <w:rPr>
          <w:bCs/>
          <w:sz w:val="28"/>
          <w:szCs w:val="28"/>
          <w:lang w:val="en-US"/>
        </w:rPr>
      </w:pPr>
      <w:r w:rsidRPr="002F4AB9">
        <w:rPr>
          <w:bCs/>
          <w:sz w:val="28"/>
          <w:szCs w:val="28"/>
          <w:lang w:val="en-US"/>
        </w:rPr>
        <w:t>The structure of gross insurance premiums received from individuals in 2018:</w:t>
      </w:r>
    </w:p>
    <w:p w:rsidR="002F4AB9" w:rsidRDefault="0097087E" w:rsidP="002F4AB9">
      <w:pPr>
        <w:pStyle w:val="Default"/>
        <w:ind w:firstLine="700"/>
        <w:jc w:val="both"/>
        <w:rPr>
          <w:bCs/>
          <w:sz w:val="28"/>
          <w:szCs w:val="28"/>
          <w:lang w:val="en-US"/>
        </w:rPr>
      </w:pPr>
      <w:r>
        <w:rPr>
          <w:bCs/>
          <w:sz w:val="28"/>
          <w:szCs w:val="28"/>
          <w:lang w:val="en-US"/>
        </w:rPr>
        <w:t>14 638.1 million UAH</w:t>
      </w:r>
      <w:r w:rsidR="002F4AB9" w:rsidRPr="002F4AB9">
        <w:rPr>
          <w:bCs/>
          <w:sz w:val="28"/>
          <w:szCs w:val="28"/>
          <w:lang w:val="en-US"/>
        </w:rPr>
        <w:t xml:space="preserve"> - by types of insurance, other than life insurance (by 14.9% more than in 2017);</w:t>
      </w:r>
      <w:r>
        <w:rPr>
          <w:bCs/>
          <w:sz w:val="28"/>
          <w:szCs w:val="28"/>
          <w:lang w:val="en-US"/>
        </w:rPr>
        <w:t xml:space="preserve"> 3 792</w:t>
      </w:r>
      <w:proofErr w:type="gramStart"/>
      <w:r>
        <w:rPr>
          <w:bCs/>
          <w:sz w:val="28"/>
          <w:szCs w:val="28"/>
          <w:lang w:val="en-US"/>
        </w:rPr>
        <w:t>,9</w:t>
      </w:r>
      <w:proofErr w:type="gramEnd"/>
      <w:r>
        <w:rPr>
          <w:bCs/>
          <w:sz w:val="28"/>
          <w:szCs w:val="28"/>
          <w:lang w:val="en-US"/>
        </w:rPr>
        <w:t xml:space="preserve"> million</w:t>
      </w:r>
      <w:r w:rsidR="002F4AB9" w:rsidRPr="002F4AB9">
        <w:rPr>
          <w:bCs/>
          <w:sz w:val="28"/>
          <w:szCs w:val="28"/>
          <w:lang w:val="en-US"/>
        </w:rPr>
        <w:t xml:space="preserve"> UAH - by type of life insurance (by 34.8% more than in 2017).</w:t>
      </w:r>
    </w:p>
    <w:p w:rsidR="002F4AB9" w:rsidRDefault="002F4AB9" w:rsidP="00A063B8">
      <w:pPr>
        <w:pStyle w:val="Default"/>
        <w:ind w:firstLine="700"/>
        <w:jc w:val="both"/>
        <w:rPr>
          <w:bCs/>
          <w:sz w:val="28"/>
          <w:szCs w:val="28"/>
          <w:lang w:val="en-US"/>
        </w:rPr>
      </w:pPr>
    </w:p>
    <w:p w:rsidR="00132B0E" w:rsidRPr="0072251B" w:rsidRDefault="002F4AB9" w:rsidP="00494D8B">
      <w:pPr>
        <w:pStyle w:val="Default"/>
        <w:ind w:firstLine="708"/>
        <w:jc w:val="both"/>
        <w:rPr>
          <w:sz w:val="28"/>
          <w:szCs w:val="28"/>
          <w:lang w:val="uk-UA"/>
        </w:rPr>
      </w:pPr>
      <w:r w:rsidRPr="002F4AB9">
        <w:rPr>
          <w:sz w:val="28"/>
          <w:szCs w:val="28"/>
          <w:lang w:val="uk-UA"/>
        </w:rPr>
        <w:t xml:space="preserve">The insurance payments to individuals-insurers for 2017 </w:t>
      </w:r>
      <w:r w:rsidR="0097087E">
        <w:rPr>
          <w:sz w:val="28"/>
          <w:szCs w:val="28"/>
          <w:lang w:val="uk-UA"/>
        </w:rPr>
        <w:t>amounted to  5,913.3 million</w:t>
      </w:r>
      <w:r w:rsidR="0097087E">
        <w:rPr>
          <w:sz w:val="28"/>
          <w:szCs w:val="28"/>
          <w:lang w:val="en-US"/>
        </w:rPr>
        <w:t xml:space="preserve"> UAH</w:t>
      </w:r>
      <w:r w:rsidRPr="002F4AB9">
        <w:rPr>
          <w:sz w:val="28"/>
          <w:szCs w:val="28"/>
          <w:lang w:val="uk-UA"/>
        </w:rPr>
        <w:t xml:space="preserve"> (46.0% of total gross payments), which is by 18.8% more than in the corresponding period of 2017.</w:t>
      </w:r>
      <w:r w:rsidR="0097087E">
        <w:rPr>
          <w:sz w:val="28"/>
          <w:szCs w:val="28"/>
          <w:lang w:val="en-US"/>
        </w:rPr>
        <w:t xml:space="preserve"> </w:t>
      </w:r>
      <w:r w:rsidRPr="002F4AB9">
        <w:rPr>
          <w:sz w:val="28"/>
          <w:szCs w:val="28"/>
          <w:lang w:val="uk-UA"/>
        </w:rPr>
        <w:t>The level of insurance payments to individuals (the ratio of insurance payments to insurance premiums) as of December 31, 2012 was 32.1%, which is 0.1% of gross payments more compared to as of December 31, 2017.The level of insurance payments under the insurance contracts for land transport (CNC insurance), concluded with insurers - individuals, as of December 31, 2018 amounted to 48,1%, under contracts of civil liability insurance of owners of land vehicles (</w:t>
      </w:r>
      <w:r w:rsidR="0097087E">
        <w:rPr>
          <w:sz w:val="28"/>
          <w:szCs w:val="28"/>
          <w:lang w:val="en-US"/>
        </w:rPr>
        <w:t>C</w:t>
      </w:r>
      <w:r w:rsidRPr="002F4AB9">
        <w:rPr>
          <w:sz w:val="28"/>
          <w:szCs w:val="28"/>
          <w:lang w:val="uk-UA"/>
        </w:rPr>
        <w:t>MTPL) - 44,3%, for health insurance - 77.5%.</w:t>
      </w:r>
    </w:p>
    <w:p w:rsidR="002F4AB9" w:rsidRDefault="002F4AB9" w:rsidP="00494D8B">
      <w:pPr>
        <w:spacing w:line="360" w:lineRule="auto"/>
        <w:ind w:firstLine="709"/>
        <w:rPr>
          <w:b/>
          <w:sz w:val="28"/>
          <w:szCs w:val="28"/>
          <w:lang w:val="en-US"/>
        </w:rPr>
      </w:pPr>
    </w:p>
    <w:p w:rsidR="002F4AB9" w:rsidRPr="002F4AB9" w:rsidRDefault="002F4AB9" w:rsidP="002F4AB9">
      <w:pPr>
        <w:ind w:firstLine="709"/>
        <w:jc w:val="both"/>
        <w:rPr>
          <w:b/>
          <w:sz w:val="28"/>
          <w:szCs w:val="28"/>
          <w:lang w:val="en-US"/>
        </w:rPr>
      </w:pPr>
      <w:r w:rsidRPr="002F4AB9">
        <w:rPr>
          <w:b/>
          <w:sz w:val="28"/>
          <w:szCs w:val="28"/>
          <w:lang w:val="en-US"/>
        </w:rPr>
        <w:t>Basic indicators of auto insurance</w:t>
      </w:r>
    </w:p>
    <w:p w:rsidR="002F4AB9" w:rsidRPr="002F4AB9" w:rsidRDefault="002F4AB9" w:rsidP="002F4AB9">
      <w:pPr>
        <w:ind w:firstLine="709"/>
        <w:jc w:val="both"/>
        <w:rPr>
          <w:sz w:val="28"/>
          <w:szCs w:val="28"/>
          <w:lang w:val="en-US"/>
        </w:rPr>
      </w:pPr>
      <w:r w:rsidRPr="002F4AB9">
        <w:rPr>
          <w:sz w:val="28"/>
          <w:szCs w:val="28"/>
          <w:lang w:val="en-US"/>
        </w:rPr>
        <w:t>The dynamics of the main indicators of motor vehicle insurance - land transport insurance (CNC insurance), civil liability insurance of land vehicle owners under internal contracts (</w:t>
      </w:r>
      <w:r w:rsidR="0097087E">
        <w:rPr>
          <w:sz w:val="28"/>
          <w:szCs w:val="28"/>
          <w:lang w:val="en-US"/>
        </w:rPr>
        <w:t>C</w:t>
      </w:r>
      <w:r w:rsidRPr="002F4AB9">
        <w:rPr>
          <w:sz w:val="28"/>
          <w:szCs w:val="28"/>
          <w:lang w:val="en-US"/>
        </w:rPr>
        <w:t xml:space="preserve">MTPL) and international agreements (Green Card) - is given in Table </w:t>
      </w:r>
      <w:r w:rsidR="00911B49">
        <w:rPr>
          <w:sz w:val="28"/>
          <w:szCs w:val="28"/>
          <w:lang w:val="uk-UA"/>
        </w:rPr>
        <w:t>8</w:t>
      </w:r>
      <w:r w:rsidRPr="002F4AB9">
        <w:rPr>
          <w:sz w:val="28"/>
          <w:szCs w:val="28"/>
          <w:lang w:val="en-US"/>
        </w:rPr>
        <w:t xml:space="preserve">. </w:t>
      </w:r>
    </w:p>
    <w:p w:rsidR="002F4AB9" w:rsidRPr="002F4AB9" w:rsidRDefault="002F4AB9" w:rsidP="002F4AB9">
      <w:pPr>
        <w:ind w:firstLine="709"/>
        <w:jc w:val="both"/>
        <w:rPr>
          <w:sz w:val="28"/>
          <w:szCs w:val="28"/>
          <w:lang w:val="en-US"/>
        </w:rPr>
      </w:pPr>
      <w:r w:rsidRPr="002F4AB9">
        <w:rPr>
          <w:sz w:val="28"/>
          <w:szCs w:val="28"/>
          <w:lang w:val="en-US"/>
        </w:rPr>
        <w:t xml:space="preserve">For 2018, the gross insurance premiums for motor insurance (CNC insurance, </w:t>
      </w:r>
      <w:r w:rsidR="0097087E">
        <w:rPr>
          <w:sz w:val="28"/>
          <w:szCs w:val="28"/>
          <w:lang w:val="en-US"/>
        </w:rPr>
        <w:t>C</w:t>
      </w:r>
      <w:r w:rsidRPr="002F4AB9">
        <w:rPr>
          <w:sz w:val="28"/>
          <w:szCs w:val="28"/>
          <w:lang w:val="en-US"/>
        </w:rPr>
        <w:t>MTPL, Green Card) increased by 22.3%, gross insurance premiums grew by 16.7%. At the same time, the share of gross insurance premiums and gross insurance premiums for civil liability insurance of land vehicle owners (</w:t>
      </w:r>
      <w:r w:rsidR="0097087E">
        <w:rPr>
          <w:sz w:val="28"/>
          <w:szCs w:val="28"/>
          <w:lang w:val="en-US"/>
        </w:rPr>
        <w:t>C</w:t>
      </w:r>
      <w:r w:rsidRPr="002F4AB9">
        <w:rPr>
          <w:sz w:val="28"/>
          <w:szCs w:val="28"/>
          <w:lang w:val="en-US"/>
        </w:rPr>
        <w:t>MTPL) in auto insurance is 34.7% and 36.8% (respectively).</w:t>
      </w:r>
    </w:p>
    <w:p w:rsidR="002C7222" w:rsidRDefault="002C7222" w:rsidP="0066115A">
      <w:pPr>
        <w:ind w:firstLine="709"/>
        <w:jc w:val="both"/>
        <w:rPr>
          <w:sz w:val="28"/>
          <w:szCs w:val="28"/>
          <w:lang w:val="en-US"/>
        </w:rPr>
      </w:pPr>
    </w:p>
    <w:p w:rsidR="002C7222" w:rsidRDefault="002C7222" w:rsidP="0066115A">
      <w:pPr>
        <w:ind w:firstLine="709"/>
        <w:jc w:val="both"/>
        <w:rPr>
          <w:sz w:val="28"/>
          <w:szCs w:val="28"/>
          <w:lang w:val="en-US"/>
        </w:rPr>
      </w:pPr>
      <w:r w:rsidRPr="002C7222">
        <w:rPr>
          <w:sz w:val="28"/>
          <w:szCs w:val="28"/>
          <w:lang w:val="en-US"/>
        </w:rPr>
        <w:t>The gross insurance premiums for insurance of land transport (CNC insurance) increased by 25.2% over 2018 compa</w:t>
      </w:r>
      <w:r w:rsidR="0097087E">
        <w:rPr>
          <w:sz w:val="28"/>
          <w:szCs w:val="28"/>
          <w:lang w:val="en-US"/>
        </w:rPr>
        <w:t xml:space="preserve">red to 2017 and amounted to </w:t>
      </w:r>
      <w:r w:rsidRPr="002C7222">
        <w:rPr>
          <w:sz w:val="28"/>
          <w:szCs w:val="28"/>
          <w:lang w:val="en-US"/>
        </w:rPr>
        <w:t>6,972.4 million</w:t>
      </w:r>
      <w:r w:rsidR="0097087E">
        <w:rPr>
          <w:sz w:val="28"/>
          <w:szCs w:val="28"/>
          <w:lang w:val="en-US"/>
        </w:rPr>
        <w:t xml:space="preserve"> UAH</w:t>
      </w:r>
      <w:r w:rsidRPr="002C7222">
        <w:rPr>
          <w:sz w:val="28"/>
          <w:szCs w:val="28"/>
          <w:lang w:val="en-US"/>
        </w:rPr>
        <w:t>, while the insurance of civil liability of land vehicle owners (</w:t>
      </w:r>
      <w:r w:rsidR="0097087E">
        <w:rPr>
          <w:sz w:val="28"/>
          <w:szCs w:val="28"/>
          <w:lang w:val="en-US"/>
        </w:rPr>
        <w:t>C</w:t>
      </w:r>
      <w:r w:rsidRPr="002C7222">
        <w:rPr>
          <w:sz w:val="28"/>
          <w:szCs w:val="28"/>
          <w:lang w:val="en-US"/>
        </w:rPr>
        <w:t>MTPL) increased gross ins</w:t>
      </w:r>
      <w:r w:rsidR="0097087E">
        <w:rPr>
          <w:sz w:val="28"/>
          <w:szCs w:val="28"/>
          <w:lang w:val="en-US"/>
        </w:rPr>
        <w:t xml:space="preserve">urance premiums by 20.1% to </w:t>
      </w:r>
      <w:r w:rsidRPr="002C7222">
        <w:rPr>
          <w:sz w:val="28"/>
          <w:szCs w:val="28"/>
          <w:lang w:val="en-US"/>
        </w:rPr>
        <w:t>4,499.3 million</w:t>
      </w:r>
      <w:r w:rsidR="0097087E">
        <w:rPr>
          <w:sz w:val="28"/>
          <w:szCs w:val="28"/>
          <w:lang w:val="en-US"/>
        </w:rPr>
        <w:t xml:space="preserve"> UAH</w:t>
      </w:r>
      <w:r w:rsidRPr="002C7222">
        <w:rPr>
          <w:sz w:val="28"/>
          <w:szCs w:val="28"/>
          <w:lang w:val="en-US"/>
        </w:rPr>
        <w:t>; when insurance of civil liability of owners of land vehicles (under international agreements), "Green Card" gross insurance premiums increased by 15.9% and amounted to 1 503.3 million UAH.</w:t>
      </w:r>
    </w:p>
    <w:p w:rsidR="002C7222" w:rsidRDefault="002C7222" w:rsidP="0066115A">
      <w:pPr>
        <w:ind w:firstLine="709"/>
        <w:jc w:val="both"/>
        <w:rPr>
          <w:sz w:val="28"/>
          <w:szCs w:val="28"/>
          <w:lang w:val="en-US"/>
        </w:rPr>
      </w:pPr>
    </w:p>
    <w:p w:rsidR="002C7222" w:rsidRPr="00347FF8" w:rsidRDefault="002C7222" w:rsidP="0066115A">
      <w:pPr>
        <w:ind w:firstLine="709"/>
        <w:jc w:val="both"/>
        <w:rPr>
          <w:sz w:val="28"/>
          <w:szCs w:val="28"/>
          <w:lang w:val="en-US"/>
        </w:rPr>
      </w:pPr>
    </w:p>
    <w:p w:rsidR="00132B0E" w:rsidRPr="00347FF8" w:rsidRDefault="00347FF8" w:rsidP="00E9371D">
      <w:pPr>
        <w:ind w:firstLine="709"/>
        <w:jc w:val="both"/>
        <w:rPr>
          <w:sz w:val="28"/>
          <w:szCs w:val="28"/>
          <w:lang w:val="uk-UA"/>
        </w:rPr>
      </w:pPr>
      <w:r w:rsidRPr="00347FF8">
        <w:rPr>
          <w:sz w:val="28"/>
          <w:szCs w:val="28"/>
          <w:lang w:val="uk-UA"/>
        </w:rPr>
        <w:t>The volume of gross insurance premiums for insurance of land transport (CNC insu</w:t>
      </w:r>
      <w:r w:rsidR="0097087E">
        <w:rPr>
          <w:sz w:val="28"/>
          <w:szCs w:val="28"/>
          <w:lang w:val="uk-UA"/>
        </w:rPr>
        <w:t xml:space="preserve">rance) for 2018 amounted to </w:t>
      </w:r>
      <w:r w:rsidRPr="00347FF8">
        <w:rPr>
          <w:sz w:val="28"/>
          <w:szCs w:val="28"/>
          <w:lang w:val="uk-UA"/>
        </w:rPr>
        <w:t>3 149.1 million</w:t>
      </w:r>
      <w:r w:rsidR="0097087E">
        <w:rPr>
          <w:sz w:val="28"/>
          <w:szCs w:val="28"/>
          <w:lang w:val="en-US"/>
        </w:rPr>
        <w:t xml:space="preserve"> UAH</w:t>
      </w:r>
      <w:r w:rsidRPr="00347FF8">
        <w:rPr>
          <w:sz w:val="28"/>
          <w:szCs w:val="28"/>
          <w:lang w:val="uk-UA"/>
        </w:rPr>
        <w:t>, which is 20.0% more than for the same period in 2017; the volume of gross insurance premiums for insurance of civil liability of owners of land vehicles (</w:t>
      </w:r>
      <w:r w:rsidR="0097087E">
        <w:rPr>
          <w:sz w:val="28"/>
          <w:szCs w:val="28"/>
          <w:lang w:val="en-US"/>
        </w:rPr>
        <w:t>C</w:t>
      </w:r>
      <w:r w:rsidRPr="00347FF8">
        <w:rPr>
          <w:sz w:val="28"/>
          <w:szCs w:val="28"/>
          <w:lang w:val="uk-UA"/>
        </w:rPr>
        <w:t xml:space="preserve">MTPL) amounted to 2 144.6 million UAH, which is 13.6% more than in the same period in 2017; The volume of gross insurance premiums for insurance of civil liability of owners of land vehicles (under </w:t>
      </w:r>
      <w:r w:rsidRPr="00347FF8">
        <w:rPr>
          <w:sz w:val="28"/>
          <w:szCs w:val="28"/>
          <w:lang w:val="uk-UA"/>
        </w:rPr>
        <w:lastRenderedPageBreak/>
        <w:t>international agreement</w:t>
      </w:r>
      <w:r w:rsidR="0097087E">
        <w:rPr>
          <w:sz w:val="28"/>
          <w:szCs w:val="28"/>
          <w:lang w:val="uk-UA"/>
        </w:rPr>
        <w:t xml:space="preserve">s) "Green Card" amounted to </w:t>
      </w:r>
      <w:r w:rsidRPr="00347FF8">
        <w:rPr>
          <w:sz w:val="28"/>
          <w:szCs w:val="28"/>
          <w:lang w:val="uk-UA"/>
        </w:rPr>
        <w:t>537.9 million</w:t>
      </w:r>
      <w:r w:rsidR="0097087E">
        <w:rPr>
          <w:sz w:val="28"/>
          <w:szCs w:val="28"/>
          <w:lang w:val="en-US"/>
        </w:rPr>
        <w:t xml:space="preserve"> UAH</w:t>
      </w:r>
      <w:r w:rsidRPr="00347FF8">
        <w:rPr>
          <w:sz w:val="28"/>
          <w:szCs w:val="28"/>
          <w:lang w:val="uk-UA"/>
        </w:rPr>
        <w:t>, which is 10.5% more than in the same period in 2017.</w:t>
      </w:r>
    </w:p>
    <w:p w:rsidR="00132B0E" w:rsidRPr="00164C81" w:rsidRDefault="00347FF8" w:rsidP="006B6D8E">
      <w:pPr>
        <w:ind w:firstLine="709"/>
        <w:jc w:val="right"/>
        <w:rPr>
          <w:i/>
          <w:lang w:val="en-US"/>
        </w:rPr>
      </w:pPr>
      <w:r>
        <w:rPr>
          <w:i/>
          <w:lang w:val="en-US"/>
        </w:rPr>
        <w:t>Table</w:t>
      </w:r>
      <w:r w:rsidR="00164C81">
        <w:rPr>
          <w:i/>
          <w:lang w:val="uk-UA"/>
        </w:rPr>
        <w:t xml:space="preserve"> </w:t>
      </w:r>
      <w:r w:rsidR="00164C81">
        <w:rPr>
          <w:i/>
          <w:lang w:val="en-US"/>
        </w:rPr>
        <w:t>8</w:t>
      </w:r>
    </w:p>
    <w:p w:rsidR="00347FF8" w:rsidRPr="00347FF8" w:rsidRDefault="00347FF8" w:rsidP="00347FF8">
      <w:pPr>
        <w:rPr>
          <w:b/>
          <w:lang w:val="en-US"/>
        </w:rPr>
      </w:pPr>
      <w:r w:rsidRPr="00347FF8">
        <w:rPr>
          <w:b/>
          <w:lang w:val="en-US"/>
        </w:rPr>
        <w:t>Dynamics of key indicators of auto insurance for 2017-2018 years</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993"/>
        <w:gridCol w:w="1001"/>
        <w:gridCol w:w="900"/>
        <w:gridCol w:w="900"/>
        <w:gridCol w:w="1134"/>
        <w:gridCol w:w="1134"/>
        <w:gridCol w:w="1003"/>
        <w:gridCol w:w="1003"/>
      </w:tblGrid>
      <w:tr w:rsidR="00132B0E" w:rsidRPr="0072251B" w:rsidTr="00CA0DBA">
        <w:trPr>
          <w:trHeight w:val="368"/>
        </w:trPr>
        <w:tc>
          <w:tcPr>
            <w:tcW w:w="2263" w:type="dxa"/>
            <w:vMerge w:val="restart"/>
          </w:tcPr>
          <w:p w:rsidR="00132B0E" w:rsidRPr="0072251B" w:rsidRDefault="00132B0E" w:rsidP="006B6D8E">
            <w:pPr>
              <w:jc w:val="right"/>
              <w:rPr>
                <w:b/>
                <w:bCs/>
                <w:sz w:val="20"/>
                <w:szCs w:val="20"/>
                <w:lang w:val="uk-UA"/>
              </w:rPr>
            </w:pPr>
          </w:p>
          <w:p w:rsidR="00132B0E" w:rsidRPr="00347FF8" w:rsidRDefault="00347FF8" w:rsidP="00347FF8">
            <w:pPr>
              <w:rPr>
                <w:b/>
                <w:bCs/>
                <w:sz w:val="20"/>
                <w:szCs w:val="20"/>
                <w:lang w:val="en-US"/>
              </w:rPr>
            </w:pPr>
            <w:r>
              <w:rPr>
                <w:b/>
                <w:bCs/>
                <w:sz w:val="20"/>
                <w:szCs w:val="20"/>
                <w:lang w:val="en-US"/>
              </w:rPr>
              <w:t>Indicator</w:t>
            </w:r>
          </w:p>
          <w:p w:rsidR="00132B0E" w:rsidRPr="0072251B" w:rsidRDefault="00132B0E" w:rsidP="006B6D8E">
            <w:pPr>
              <w:rPr>
                <w:b/>
                <w:bCs/>
                <w:sz w:val="20"/>
                <w:szCs w:val="20"/>
                <w:lang w:val="uk-UA"/>
              </w:rPr>
            </w:pPr>
          </w:p>
          <w:p w:rsidR="00347FF8" w:rsidRPr="0072251B" w:rsidRDefault="00347FF8" w:rsidP="00347FF8">
            <w:pPr>
              <w:rPr>
                <w:b/>
                <w:bCs/>
                <w:sz w:val="20"/>
                <w:szCs w:val="20"/>
                <w:lang w:val="uk-UA"/>
              </w:rPr>
            </w:pPr>
            <w:r>
              <w:rPr>
                <w:b/>
                <w:bCs/>
                <w:sz w:val="20"/>
                <w:szCs w:val="20"/>
                <w:lang w:val="en-US"/>
              </w:rPr>
              <w:t>Type of insurance</w:t>
            </w:r>
          </w:p>
          <w:p w:rsidR="00132B0E" w:rsidRPr="0072251B" w:rsidRDefault="00132B0E" w:rsidP="006B6D8E">
            <w:pPr>
              <w:rPr>
                <w:b/>
                <w:bCs/>
                <w:sz w:val="20"/>
                <w:szCs w:val="20"/>
                <w:lang w:val="uk-UA"/>
              </w:rPr>
            </w:pPr>
          </w:p>
        </w:tc>
        <w:tc>
          <w:tcPr>
            <w:tcW w:w="1994" w:type="dxa"/>
            <w:gridSpan w:val="2"/>
            <w:vAlign w:val="center"/>
          </w:tcPr>
          <w:p w:rsidR="00132B0E" w:rsidRPr="00347FF8" w:rsidRDefault="00347FF8" w:rsidP="00347FF8">
            <w:pPr>
              <w:jc w:val="center"/>
              <w:rPr>
                <w:b/>
                <w:bCs/>
                <w:sz w:val="20"/>
                <w:szCs w:val="20"/>
                <w:lang w:val="en-US"/>
              </w:rPr>
            </w:pPr>
            <w:r>
              <w:rPr>
                <w:b/>
                <w:bCs/>
                <w:sz w:val="20"/>
                <w:szCs w:val="20"/>
                <w:lang w:val="en-US"/>
              </w:rPr>
              <w:t>Gross insurance premiums</w:t>
            </w:r>
          </w:p>
        </w:tc>
        <w:tc>
          <w:tcPr>
            <w:tcW w:w="1800" w:type="dxa"/>
            <w:gridSpan w:val="2"/>
            <w:vAlign w:val="center"/>
          </w:tcPr>
          <w:p w:rsidR="00132B0E" w:rsidRPr="0072251B" w:rsidRDefault="00347FF8" w:rsidP="00347FF8">
            <w:pPr>
              <w:jc w:val="center"/>
              <w:rPr>
                <w:b/>
                <w:bCs/>
                <w:sz w:val="20"/>
                <w:szCs w:val="20"/>
                <w:lang w:val="uk-UA"/>
              </w:rPr>
            </w:pPr>
            <w:r>
              <w:rPr>
                <w:b/>
                <w:bCs/>
                <w:sz w:val="20"/>
                <w:szCs w:val="20"/>
                <w:lang w:val="en-US"/>
              </w:rPr>
              <w:t>Gross insurance payments</w:t>
            </w:r>
          </w:p>
        </w:tc>
        <w:tc>
          <w:tcPr>
            <w:tcW w:w="2268" w:type="dxa"/>
            <w:gridSpan w:val="2"/>
            <w:vAlign w:val="center"/>
          </w:tcPr>
          <w:p w:rsidR="00132B0E" w:rsidRPr="00347FF8" w:rsidRDefault="00347FF8" w:rsidP="00347FF8">
            <w:pPr>
              <w:jc w:val="center"/>
              <w:rPr>
                <w:b/>
                <w:bCs/>
                <w:sz w:val="20"/>
                <w:szCs w:val="20"/>
                <w:lang w:val="en-US"/>
              </w:rPr>
            </w:pPr>
            <w:r>
              <w:rPr>
                <w:b/>
                <w:bCs/>
                <w:sz w:val="20"/>
                <w:szCs w:val="20"/>
                <w:lang w:val="en-US"/>
              </w:rPr>
              <w:t>Level of gross insurance premiums</w:t>
            </w:r>
          </w:p>
        </w:tc>
        <w:tc>
          <w:tcPr>
            <w:tcW w:w="2006" w:type="dxa"/>
            <w:gridSpan w:val="2"/>
            <w:vAlign w:val="center"/>
          </w:tcPr>
          <w:p w:rsidR="00132B0E" w:rsidRPr="00347FF8" w:rsidRDefault="00347FF8" w:rsidP="006B6D8E">
            <w:pPr>
              <w:jc w:val="center"/>
              <w:rPr>
                <w:b/>
                <w:bCs/>
                <w:sz w:val="20"/>
                <w:szCs w:val="20"/>
                <w:lang w:val="en-US"/>
              </w:rPr>
            </w:pPr>
            <w:r>
              <w:rPr>
                <w:b/>
                <w:bCs/>
                <w:sz w:val="20"/>
                <w:szCs w:val="20"/>
                <w:lang w:val="en-US"/>
              </w:rPr>
              <w:t>Growth rates</w:t>
            </w:r>
          </w:p>
        </w:tc>
      </w:tr>
      <w:tr w:rsidR="00132B0E" w:rsidRPr="00347FF8" w:rsidTr="00CA0DBA">
        <w:trPr>
          <w:trHeight w:val="266"/>
        </w:trPr>
        <w:tc>
          <w:tcPr>
            <w:tcW w:w="2263" w:type="dxa"/>
            <w:vMerge/>
          </w:tcPr>
          <w:p w:rsidR="00132B0E" w:rsidRPr="0072251B" w:rsidRDefault="00132B0E" w:rsidP="006B6D8E">
            <w:pPr>
              <w:rPr>
                <w:b/>
                <w:bCs/>
                <w:sz w:val="20"/>
                <w:szCs w:val="20"/>
                <w:lang w:val="uk-UA"/>
              </w:rPr>
            </w:pPr>
          </w:p>
        </w:tc>
        <w:tc>
          <w:tcPr>
            <w:tcW w:w="993" w:type="dxa"/>
            <w:vAlign w:val="center"/>
          </w:tcPr>
          <w:p w:rsidR="00132B0E" w:rsidRPr="0072251B" w:rsidRDefault="00132B0E" w:rsidP="00682D4D">
            <w:pPr>
              <w:ind w:left="-199" w:right="-173"/>
              <w:jc w:val="center"/>
              <w:rPr>
                <w:b/>
                <w:bCs/>
                <w:sz w:val="20"/>
                <w:szCs w:val="20"/>
                <w:lang w:val="uk-UA"/>
              </w:rPr>
            </w:pPr>
            <w:r w:rsidRPr="0072251B">
              <w:rPr>
                <w:b/>
                <w:bCs/>
                <w:sz w:val="20"/>
                <w:szCs w:val="20"/>
                <w:lang w:val="uk-UA"/>
              </w:rPr>
              <w:t>2017</w:t>
            </w:r>
          </w:p>
        </w:tc>
        <w:tc>
          <w:tcPr>
            <w:tcW w:w="1001" w:type="dxa"/>
            <w:vAlign w:val="center"/>
          </w:tcPr>
          <w:p w:rsidR="00132B0E" w:rsidRPr="0072251B" w:rsidRDefault="00132B0E" w:rsidP="00682D4D">
            <w:pPr>
              <w:ind w:left="-85" w:right="-99"/>
              <w:jc w:val="center"/>
              <w:rPr>
                <w:b/>
                <w:bCs/>
                <w:sz w:val="20"/>
                <w:szCs w:val="20"/>
                <w:lang w:val="uk-UA"/>
              </w:rPr>
            </w:pPr>
            <w:r w:rsidRPr="0072251B">
              <w:rPr>
                <w:b/>
                <w:bCs/>
                <w:sz w:val="20"/>
                <w:szCs w:val="20"/>
                <w:lang w:val="uk-UA"/>
              </w:rPr>
              <w:t>2018</w:t>
            </w:r>
          </w:p>
        </w:tc>
        <w:tc>
          <w:tcPr>
            <w:tcW w:w="900" w:type="dxa"/>
            <w:vAlign w:val="center"/>
          </w:tcPr>
          <w:p w:rsidR="00132B0E" w:rsidRPr="0072251B" w:rsidRDefault="00132B0E" w:rsidP="0032785A">
            <w:pPr>
              <w:ind w:left="-199" w:right="-173"/>
              <w:jc w:val="center"/>
              <w:rPr>
                <w:b/>
                <w:bCs/>
                <w:sz w:val="20"/>
                <w:szCs w:val="20"/>
                <w:lang w:val="uk-UA"/>
              </w:rPr>
            </w:pPr>
            <w:r w:rsidRPr="0072251B">
              <w:rPr>
                <w:b/>
                <w:bCs/>
                <w:sz w:val="20"/>
                <w:szCs w:val="20"/>
                <w:lang w:val="uk-UA"/>
              </w:rPr>
              <w:t>2017</w:t>
            </w:r>
          </w:p>
        </w:tc>
        <w:tc>
          <w:tcPr>
            <w:tcW w:w="900" w:type="dxa"/>
            <w:vAlign w:val="center"/>
          </w:tcPr>
          <w:p w:rsidR="00132B0E" w:rsidRPr="0072251B" w:rsidRDefault="00132B0E" w:rsidP="0032785A">
            <w:pPr>
              <w:ind w:left="-85" w:right="-99"/>
              <w:jc w:val="center"/>
              <w:rPr>
                <w:b/>
                <w:bCs/>
                <w:sz w:val="20"/>
                <w:szCs w:val="20"/>
                <w:lang w:val="uk-UA"/>
              </w:rPr>
            </w:pPr>
            <w:r w:rsidRPr="0072251B">
              <w:rPr>
                <w:b/>
                <w:bCs/>
                <w:sz w:val="20"/>
                <w:szCs w:val="20"/>
                <w:lang w:val="uk-UA"/>
              </w:rPr>
              <w:t>2018</w:t>
            </w:r>
          </w:p>
        </w:tc>
        <w:tc>
          <w:tcPr>
            <w:tcW w:w="1134" w:type="dxa"/>
            <w:vAlign w:val="center"/>
          </w:tcPr>
          <w:p w:rsidR="00132B0E" w:rsidRPr="0072251B" w:rsidRDefault="00347FF8" w:rsidP="00682D4D">
            <w:pPr>
              <w:ind w:left="-19"/>
              <w:jc w:val="center"/>
              <w:rPr>
                <w:b/>
                <w:bCs/>
                <w:sz w:val="20"/>
                <w:szCs w:val="20"/>
                <w:lang w:val="uk-UA"/>
              </w:rPr>
            </w:pPr>
            <w:r>
              <w:rPr>
                <w:b/>
                <w:bCs/>
                <w:sz w:val="20"/>
                <w:szCs w:val="20"/>
                <w:lang w:val="en-US"/>
              </w:rPr>
              <w:t xml:space="preserve">By </w:t>
            </w:r>
            <w:r w:rsidR="00132B0E" w:rsidRPr="0072251B">
              <w:rPr>
                <w:b/>
                <w:bCs/>
                <w:sz w:val="20"/>
                <w:szCs w:val="20"/>
                <w:lang w:val="uk-UA"/>
              </w:rPr>
              <w:t>31.12.2017</w:t>
            </w:r>
          </w:p>
        </w:tc>
        <w:tc>
          <w:tcPr>
            <w:tcW w:w="1134" w:type="dxa"/>
            <w:vAlign w:val="center"/>
          </w:tcPr>
          <w:p w:rsidR="00347FF8" w:rsidRDefault="00347FF8" w:rsidP="00682D4D">
            <w:pPr>
              <w:jc w:val="center"/>
              <w:rPr>
                <w:b/>
                <w:bCs/>
                <w:sz w:val="20"/>
                <w:szCs w:val="20"/>
                <w:lang w:val="en-US"/>
              </w:rPr>
            </w:pPr>
            <w:r>
              <w:rPr>
                <w:b/>
                <w:bCs/>
                <w:sz w:val="20"/>
                <w:szCs w:val="20"/>
                <w:lang w:val="en-US"/>
              </w:rPr>
              <w:t>By</w:t>
            </w:r>
          </w:p>
          <w:p w:rsidR="00132B0E" w:rsidRPr="0072251B" w:rsidRDefault="00132B0E" w:rsidP="00682D4D">
            <w:pPr>
              <w:jc w:val="center"/>
              <w:rPr>
                <w:b/>
                <w:bCs/>
                <w:sz w:val="20"/>
                <w:szCs w:val="20"/>
                <w:lang w:val="uk-UA"/>
              </w:rPr>
            </w:pPr>
            <w:r w:rsidRPr="0072251B">
              <w:rPr>
                <w:b/>
                <w:bCs/>
                <w:sz w:val="20"/>
                <w:szCs w:val="20"/>
                <w:lang w:val="uk-UA"/>
              </w:rPr>
              <w:t>31.12.2018</w:t>
            </w:r>
          </w:p>
        </w:tc>
        <w:tc>
          <w:tcPr>
            <w:tcW w:w="1003" w:type="dxa"/>
          </w:tcPr>
          <w:p w:rsidR="00132B0E" w:rsidRPr="00347FF8" w:rsidRDefault="00347FF8" w:rsidP="00347FF8">
            <w:pPr>
              <w:jc w:val="center"/>
              <w:rPr>
                <w:b/>
                <w:bCs/>
                <w:sz w:val="20"/>
                <w:szCs w:val="20"/>
                <w:lang w:val="en-US"/>
              </w:rPr>
            </w:pPr>
            <w:r>
              <w:rPr>
                <w:b/>
                <w:bCs/>
                <w:sz w:val="20"/>
                <w:szCs w:val="20"/>
                <w:lang w:val="en-US"/>
              </w:rPr>
              <w:t>Gross insurance premiums</w:t>
            </w:r>
          </w:p>
        </w:tc>
        <w:tc>
          <w:tcPr>
            <w:tcW w:w="1003" w:type="dxa"/>
          </w:tcPr>
          <w:p w:rsidR="00132B0E" w:rsidRPr="00347FF8" w:rsidRDefault="00347FF8" w:rsidP="00347FF8">
            <w:pPr>
              <w:jc w:val="center"/>
              <w:rPr>
                <w:b/>
                <w:bCs/>
                <w:sz w:val="20"/>
                <w:szCs w:val="20"/>
                <w:lang w:val="en-US"/>
              </w:rPr>
            </w:pPr>
            <w:r>
              <w:rPr>
                <w:b/>
                <w:bCs/>
                <w:sz w:val="20"/>
                <w:szCs w:val="20"/>
                <w:lang w:val="en-US"/>
              </w:rPr>
              <w:t>Gross insurance payments</w:t>
            </w:r>
          </w:p>
        </w:tc>
      </w:tr>
      <w:tr w:rsidR="00132B0E" w:rsidRPr="0072251B" w:rsidTr="00CA0DBA">
        <w:trPr>
          <w:trHeight w:val="460"/>
        </w:trPr>
        <w:tc>
          <w:tcPr>
            <w:tcW w:w="2263" w:type="dxa"/>
            <w:vMerge/>
          </w:tcPr>
          <w:p w:rsidR="00132B0E" w:rsidRPr="0072251B" w:rsidRDefault="00132B0E" w:rsidP="006B6D8E">
            <w:pPr>
              <w:rPr>
                <w:b/>
                <w:bCs/>
                <w:sz w:val="20"/>
                <w:szCs w:val="20"/>
                <w:lang w:val="uk-UA"/>
              </w:rPr>
            </w:pPr>
          </w:p>
        </w:tc>
        <w:tc>
          <w:tcPr>
            <w:tcW w:w="3794" w:type="dxa"/>
            <w:gridSpan w:val="4"/>
            <w:vAlign w:val="center"/>
          </w:tcPr>
          <w:p w:rsidR="00132B0E" w:rsidRPr="009341D4" w:rsidRDefault="009341D4" w:rsidP="006B6D8E">
            <w:pPr>
              <w:jc w:val="center"/>
              <w:rPr>
                <w:b/>
                <w:bCs/>
                <w:sz w:val="20"/>
                <w:szCs w:val="20"/>
                <w:lang w:val="en-US"/>
              </w:rPr>
            </w:pPr>
            <w:r>
              <w:rPr>
                <w:b/>
                <w:bCs/>
                <w:sz w:val="20"/>
                <w:szCs w:val="20"/>
                <w:lang w:val="en-US"/>
              </w:rPr>
              <w:t>Million UAH</w:t>
            </w:r>
          </w:p>
        </w:tc>
        <w:tc>
          <w:tcPr>
            <w:tcW w:w="2268" w:type="dxa"/>
            <w:gridSpan w:val="2"/>
            <w:vAlign w:val="center"/>
          </w:tcPr>
          <w:p w:rsidR="00132B0E" w:rsidRPr="0072251B" w:rsidRDefault="00132B0E" w:rsidP="006B6D8E">
            <w:pPr>
              <w:jc w:val="center"/>
              <w:rPr>
                <w:b/>
                <w:bCs/>
                <w:sz w:val="20"/>
                <w:szCs w:val="20"/>
                <w:lang w:val="uk-UA"/>
              </w:rPr>
            </w:pPr>
            <w:r w:rsidRPr="0072251B">
              <w:rPr>
                <w:b/>
                <w:bCs/>
                <w:sz w:val="20"/>
                <w:szCs w:val="20"/>
                <w:lang w:val="uk-UA"/>
              </w:rPr>
              <w:t>%</w:t>
            </w:r>
          </w:p>
        </w:tc>
        <w:tc>
          <w:tcPr>
            <w:tcW w:w="2006" w:type="dxa"/>
            <w:gridSpan w:val="2"/>
            <w:vAlign w:val="center"/>
          </w:tcPr>
          <w:p w:rsidR="00132B0E" w:rsidRPr="0072251B" w:rsidRDefault="00132B0E" w:rsidP="00682D4D">
            <w:pPr>
              <w:jc w:val="center"/>
              <w:rPr>
                <w:b/>
                <w:bCs/>
                <w:sz w:val="20"/>
                <w:szCs w:val="20"/>
                <w:lang w:val="uk-UA"/>
              </w:rPr>
            </w:pPr>
            <w:r w:rsidRPr="0072251B">
              <w:rPr>
                <w:b/>
                <w:bCs/>
                <w:sz w:val="20"/>
                <w:szCs w:val="20"/>
                <w:lang w:val="uk-UA"/>
              </w:rPr>
              <w:t>2018/ 2017</w:t>
            </w:r>
          </w:p>
        </w:tc>
      </w:tr>
      <w:tr w:rsidR="00132B0E" w:rsidRPr="0072251B" w:rsidTr="00CA0DBA">
        <w:trPr>
          <w:trHeight w:val="482"/>
        </w:trPr>
        <w:tc>
          <w:tcPr>
            <w:tcW w:w="2263" w:type="dxa"/>
          </w:tcPr>
          <w:p w:rsidR="00347FF8" w:rsidRDefault="00347FF8">
            <w:pPr>
              <w:jc w:val="both"/>
              <w:rPr>
                <w:sz w:val="20"/>
                <w:szCs w:val="20"/>
                <w:lang w:val="en-US"/>
              </w:rPr>
            </w:pPr>
            <w:r>
              <w:rPr>
                <w:sz w:val="20"/>
                <w:szCs w:val="20"/>
                <w:lang w:val="uk-UA"/>
              </w:rPr>
              <w:t>Land</w:t>
            </w:r>
            <w:r>
              <w:rPr>
                <w:sz w:val="20"/>
                <w:szCs w:val="20"/>
                <w:lang w:val="en-US"/>
              </w:rPr>
              <w:t xml:space="preserve"> </w:t>
            </w:r>
            <w:r>
              <w:rPr>
                <w:sz w:val="20"/>
                <w:szCs w:val="20"/>
                <w:lang w:val="uk-UA"/>
              </w:rPr>
              <w:t xml:space="preserve">Transport Insurance </w:t>
            </w:r>
          </w:p>
          <w:p w:rsidR="00132B0E" w:rsidRPr="0072251B" w:rsidRDefault="00347FF8">
            <w:pPr>
              <w:jc w:val="both"/>
              <w:rPr>
                <w:sz w:val="20"/>
                <w:szCs w:val="20"/>
                <w:lang w:val="uk-UA"/>
              </w:rPr>
            </w:pPr>
            <w:r>
              <w:rPr>
                <w:sz w:val="20"/>
                <w:szCs w:val="20"/>
                <w:lang w:val="uk-UA"/>
              </w:rPr>
              <w:t>(C</w:t>
            </w:r>
            <w:r>
              <w:rPr>
                <w:sz w:val="20"/>
                <w:szCs w:val="20"/>
                <w:lang w:val="en-US"/>
              </w:rPr>
              <w:t>NC insurance</w:t>
            </w:r>
            <w:r w:rsidRPr="00347FF8">
              <w:rPr>
                <w:sz w:val="20"/>
                <w:szCs w:val="20"/>
                <w:lang w:val="uk-UA"/>
              </w:rPr>
              <w:t>)</w:t>
            </w:r>
          </w:p>
        </w:tc>
        <w:tc>
          <w:tcPr>
            <w:tcW w:w="993" w:type="dxa"/>
            <w:vAlign w:val="bottom"/>
          </w:tcPr>
          <w:p w:rsidR="00132B0E" w:rsidRPr="0072251B" w:rsidRDefault="00132B0E">
            <w:pPr>
              <w:jc w:val="right"/>
              <w:rPr>
                <w:lang w:val="uk-UA"/>
              </w:rPr>
            </w:pPr>
            <w:r w:rsidRPr="0072251B">
              <w:rPr>
                <w:sz w:val="22"/>
                <w:szCs w:val="22"/>
                <w:lang w:val="uk-UA"/>
              </w:rPr>
              <w:t>5 570,1</w:t>
            </w:r>
          </w:p>
        </w:tc>
        <w:tc>
          <w:tcPr>
            <w:tcW w:w="1001" w:type="dxa"/>
            <w:vAlign w:val="bottom"/>
          </w:tcPr>
          <w:p w:rsidR="00132B0E" w:rsidRPr="0072251B" w:rsidRDefault="00132B0E">
            <w:pPr>
              <w:jc w:val="right"/>
              <w:rPr>
                <w:lang w:val="uk-UA"/>
              </w:rPr>
            </w:pPr>
            <w:r w:rsidRPr="0072251B">
              <w:rPr>
                <w:sz w:val="22"/>
                <w:szCs w:val="22"/>
                <w:lang w:val="uk-UA"/>
              </w:rPr>
              <w:t>6 972,4</w:t>
            </w:r>
          </w:p>
        </w:tc>
        <w:tc>
          <w:tcPr>
            <w:tcW w:w="900" w:type="dxa"/>
            <w:vAlign w:val="bottom"/>
          </w:tcPr>
          <w:p w:rsidR="00132B0E" w:rsidRPr="0072251B" w:rsidRDefault="00132B0E">
            <w:pPr>
              <w:jc w:val="right"/>
              <w:rPr>
                <w:lang w:val="uk-UA"/>
              </w:rPr>
            </w:pPr>
            <w:r w:rsidRPr="0072251B">
              <w:rPr>
                <w:sz w:val="22"/>
                <w:szCs w:val="22"/>
                <w:lang w:val="uk-UA"/>
              </w:rPr>
              <w:t>2 623,7</w:t>
            </w:r>
          </w:p>
        </w:tc>
        <w:tc>
          <w:tcPr>
            <w:tcW w:w="900" w:type="dxa"/>
            <w:vAlign w:val="bottom"/>
          </w:tcPr>
          <w:p w:rsidR="00132B0E" w:rsidRPr="0072251B" w:rsidRDefault="00132B0E">
            <w:pPr>
              <w:jc w:val="right"/>
              <w:rPr>
                <w:lang w:val="uk-UA"/>
              </w:rPr>
            </w:pPr>
            <w:r w:rsidRPr="0072251B">
              <w:rPr>
                <w:sz w:val="22"/>
                <w:szCs w:val="22"/>
                <w:lang w:val="uk-UA"/>
              </w:rPr>
              <w:t>3 149,1</w:t>
            </w:r>
          </w:p>
        </w:tc>
        <w:tc>
          <w:tcPr>
            <w:tcW w:w="1134" w:type="dxa"/>
            <w:vAlign w:val="bottom"/>
          </w:tcPr>
          <w:p w:rsidR="00132B0E" w:rsidRPr="0072251B" w:rsidRDefault="00132B0E">
            <w:pPr>
              <w:jc w:val="right"/>
              <w:rPr>
                <w:lang w:val="uk-UA"/>
              </w:rPr>
            </w:pPr>
            <w:r w:rsidRPr="0072251B">
              <w:rPr>
                <w:sz w:val="22"/>
                <w:szCs w:val="22"/>
                <w:lang w:val="uk-UA"/>
              </w:rPr>
              <w:t>47,1</w:t>
            </w:r>
          </w:p>
        </w:tc>
        <w:tc>
          <w:tcPr>
            <w:tcW w:w="1134" w:type="dxa"/>
            <w:vAlign w:val="bottom"/>
          </w:tcPr>
          <w:p w:rsidR="00132B0E" w:rsidRPr="0072251B" w:rsidRDefault="00132B0E">
            <w:pPr>
              <w:jc w:val="right"/>
              <w:rPr>
                <w:lang w:val="uk-UA"/>
              </w:rPr>
            </w:pPr>
            <w:r w:rsidRPr="0072251B">
              <w:rPr>
                <w:sz w:val="22"/>
                <w:szCs w:val="22"/>
                <w:lang w:val="uk-UA"/>
              </w:rPr>
              <w:t>45,2</w:t>
            </w:r>
          </w:p>
        </w:tc>
        <w:tc>
          <w:tcPr>
            <w:tcW w:w="1003" w:type="dxa"/>
            <w:vAlign w:val="bottom"/>
          </w:tcPr>
          <w:p w:rsidR="00132B0E" w:rsidRPr="0072251B" w:rsidRDefault="00132B0E">
            <w:pPr>
              <w:jc w:val="right"/>
              <w:rPr>
                <w:lang w:val="uk-UA"/>
              </w:rPr>
            </w:pPr>
            <w:r w:rsidRPr="0072251B">
              <w:rPr>
                <w:sz w:val="22"/>
                <w:szCs w:val="22"/>
                <w:lang w:val="uk-UA"/>
              </w:rPr>
              <w:t>25,2</w:t>
            </w:r>
          </w:p>
        </w:tc>
        <w:tc>
          <w:tcPr>
            <w:tcW w:w="1003" w:type="dxa"/>
            <w:vAlign w:val="bottom"/>
          </w:tcPr>
          <w:p w:rsidR="00132B0E" w:rsidRPr="0072251B" w:rsidRDefault="00132B0E">
            <w:pPr>
              <w:jc w:val="right"/>
              <w:rPr>
                <w:lang w:val="uk-UA"/>
              </w:rPr>
            </w:pPr>
            <w:r w:rsidRPr="0072251B">
              <w:rPr>
                <w:sz w:val="22"/>
                <w:szCs w:val="22"/>
                <w:lang w:val="uk-UA"/>
              </w:rPr>
              <w:t>20,0</w:t>
            </w:r>
          </w:p>
        </w:tc>
      </w:tr>
      <w:tr w:rsidR="00132B0E" w:rsidRPr="0072251B" w:rsidTr="00CA0DBA">
        <w:trPr>
          <w:trHeight w:val="1080"/>
        </w:trPr>
        <w:tc>
          <w:tcPr>
            <w:tcW w:w="2263" w:type="dxa"/>
          </w:tcPr>
          <w:p w:rsidR="00132B0E" w:rsidRPr="0072251B" w:rsidRDefault="009341D4">
            <w:pPr>
              <w:jc w:val="both"/>
              <w:rPr>
                <w:sz w:val="20"/>
                <w:szCs w:val="20"/>
                <w:lang w:val="uk-UA"/>
              </w:rPr>
            </w:pPr>
            <w:r w:rsidRPr="009341D4">
              <w:rPr>
                <w:sz w:val="20"/>
                <w:szCs w:val="20"/>
                <w:lang w:val="uk-UA"/>
              </w:rPr>
              <w:t>Obligatory Civil Liability Insurance</w:t>
            </w:r>
            <w:r>
              <w:rPr>
                <w:sz w:val="20"/>
                <w:szCs w:val="20"/>
                <w:lang w:val="uk-UA"/>
              </w:rPr>
              <w:t xml:space="preserve"> of Owners of Land Vehicles (</w:t>
            </w:r>
            <w:r w:rsidR="00BC2382">
              <w:rPr>
                <w:sz w:val="20"/>
                <w:szCs w:val="20"/>
                <w:lang w:val="en-US"/>
              </w:rPr>
              <w:t>C</w:t>
            </w:r>
            <w:r>
              <w:rPr>
                <w:sz w:val="20"/>
                <w:szCs w:val="20"/>
                <w:lang w:val="en-US"/>
              </w:rPr>
              <w:t>MTPL</w:t>
            </w:r>
            <w:r w:rsidRPr="009341D4">
              <w:rPr>
                <w:sz w:val="20"/>
                <w:szCs w:val="20"/>
                <w:lang w:val="uk-UA"/>
              </w:rPr>
              <w:t>)</w:t>
            </w:r>
          </w:p>
        </w:tc>
        <w:tc>
          <w:tcPr>
            <w:tcW w:w="993" w:type="dxa"/>
            <w:vAlign w:val="bottom"/>
          </w:tcPr>
          <w:p w:rsidR="00132B0E" w:rsidRPr="0072251B" w:rsidRDefault="00132B0E">
            <w:pPr>
              <w:jc w:val="right"/>
              <w:rPr>
                <w:lang w:val="uk-UA"/>
              </w:rPr>
            </w:pPr>
            <w:r w:rsidRPr="0072251B">
              <w:rPr>
                <w:sz w:val="22"/>
                <w:szCs w:val="22"/>
                <w:lang w:val="uk-UA"/>
              </w:rPr>
              <w:t>3 745,3</w:t>
            </w:r>
          </w:p>
        </w:tc>
        <w:tc>
          <w:tcPr>
            <w:tcW w:w="1001" w:type="dxa"/>
            <w:vAlign w:val="bottom"/>
          </w:tcPr>
          <w:p w:rsidR="00132B0E" w:rsidRPr="0072251B" w:rsidRDefault="00132B0E">
            <w:pPr>
              <w:jc w:val="right"/>
              <w:rPr>
                <w:lang w:val="uk-UA"/>
              </w:rPr>
            </w:pPr>
            <w:r w:rsidRPr="0072251B">
              <w:rPr>
                <w:sz w:val="22"/>
                <w:szCs w:val="22"/>
                <w:lang w:val="uk-UA"/>
              </w:rPr>
              <w:t>4 499,3</w:t>
            </w:r>
          </w:p>
        </w:tc>
        <w:tc>
          <w:tcPr>
            <w:tcW w:w="900" w:type="dxa"/>
            <w:vAlign w:val="bottom"/>
          </w:tcPr>
          <w:p w:rsidR="00132B0E" w:rsidRPr="0072251B" w:rsidRDefault="00132B0E">
            <w:pPr>
              <w:jc w:val="right"/>
              <w:rPr>
                <w:lang w:val="uk-UA"/>
              </w:rPr>
            </w:pPr>
            <w:r w:rsidRPr="0072251B">
              <w:rPr>
                <w:sz w:val="22"/>
                <w:szCs w:val="22"/>
                <w:lang w:val="uk-UA"/>
              </w:rPr>
              <w:t>1 887,5</w:t>
            </w:r>
          </w:p>
        </w:tc>
        <w:tc>
          <w:tcPr>
            <w:tcW w:w="900" w:type="dxa"/>
            <w:vAlign w:val="bottom"/>
          </w:tcPr>
          <w:p w:rsidR="00132B0E" w:rsidRPr="0072251B" w:rsidRDefault="00132B0E">
            <w:pPr>
              <w:jc w:val="right"/>
              <w:rPr>
                <w:lang w:val="uk-UA"/>
              </w:rPr>
            </w:pPr>
            <w:r w:rsidRPr="0072251B">
              <w:rPr>
                <w:sz w:val="22"/>
                <w:szCs w:val="22"/>
                <w:lang w:val="uk-UA"/>
              </w:rPr>
              <w:t>2 144,6</w:t>
            </w:r>
          </w:p>
        </w:tc>
        <w:tc>
          <w:tcPr>
            <w:tcW w:w="1134" w:type="dxa"/>
            <w:vAlign w:val="bottom"/>
          </w:tcPr>
          <w:p w:rsidR="00132B0E" w:rsidRPr="0072251B" w:rsidRDefault="00132B0E">
            <w:pPr>
              <w:jc w:val="right"/>
              <w:rPr>
                <w:lang w:val="uk-UA"/>
              </w:rPr>
            </w:pPr>
            <w:r w:rsidRPr="0072251B">
              <w:rPr>
                <w:sz w:val="22"/>
                <w:szCs w:val="22"/>
                <w:lang w:val="uk-UA"/>
              </w:rPr>
              <w:t>50,4</w:t>
            </w:r>
          </w:p>
        </w:tc>
        <w:tc>
          <w:tcPr>
            <w:tcW w:w="1134" w:type="dxa"/>
            <w:vAlign w:val="bottom"/>
          </w:tcPr>
          <w:p w:rsidR="00132B0E" w:rsidRPr="0072251B" w:rsidRDefault="00132B0E">
            <w:pPr>
              <w:jc w:val="right"/>
              <w:rPr>
                <w:lang w:val="uk-UA"/>
              </w:rPr>
            </w:pPr>
            <w:r w:rsidRPr="0072251B">
              <w:rPr>
                <w:sz w:val="22"/>
                <w:szCs w:val="22"/>
                <w:lang w:val="uk-UA"/>
              </w:rPr>
              <w:t>47,7</w:t>
            </w:r>
          </w:p>
        </w:tc>
        <w:tc>
          <w:tcPr>
            <w:tcW w:w="1003" w:type="dxa"/>
            <w:vAlign w:val="bottom"/>
          </w:tcPr>
          <w:p w:rsidR="00132B0E" w:rsidRPr="0072251B" w:rsidRDefault="00132B0E">
            <w:pPr>
              <w:jc w:val="right"/>
              <w:rPr>
                <w:lang w:val="uk-UA"/>
              </w:rPr>
            </w:pPr>
            <w:r w:rsidRPr="0072251B">
              <w:rPr>
                <w:sz w:val="22"/>
                <w:szCs w:val="22"/>
                <w:lang w:val="uk-UA"/>
              </w:rPr>
              <w:t>20,1</w:t>
            </w:r>
          </w:p>
        </w:tc>
        <w:tc>
          <w:tcPr>
            <w:tcW w:w="1003" w:type="dxa"/>
            <w:vAlign w:val="bottom"/>
          </w:tcPr>
          <w:p w:rsidR="00132B0E" w:rsidRPr="0072251B" w:rsidRDefault="00132B0E">
            <w:pPr>
              <w:jc w:val="right"/>
              <w:rPr>
                <w:lang w:val="uk-UA"/>
              </w:rPr>
            </w:pPr>
            <w:r w:rsidRPr="0072251B">
              <w:rPr>
                <w:sz w:val="22"/>
                <w:szCs w:val="22"/>
                <w:lang w:val="uk-UA"/>
              </w:rPr>
              <w:t>13,6</w:t>
            </w:r>
          </w:p>
        </w:tc>
      </w:tr>
      <w:tr w:rsidR="00132B0E" w:rsidRPr="0072251B" w:rsidTr="00CA0DBA">
        <w:trPr>
          <w:trHeight w:val="577"/>
        </w:trPr>
        <w:tc>
          <w:tcPr>
            <w:tcW w:w="2263" w:type="dxa"/>
            <w:vAlign w:val="bottom"/>
          </w:tcPr>
          <w:p w:rsidR="00132B0E" w:rsidRPr="0072251B" w:rsidRDefault="009341D4" w:rsidP="00CA0DBA">
            <w:pPr>
              <w:jc w:val="both"/>
              <w:rPr>
                <w:sz w:val="20"/>
                <w:szCs w:val="20"/>
                <w:lang w:val="uk-UA"/>
              </w:rPr>
            </w:pPr>
            <w:r w:rsidRPr="009341D4">
              <w:rPr>
                <w:sz w:val="20"/>
                <w:szCs w:val="20"/>
                <w:lang w:val="uk-UA"/>
              </w:rPr>
              <w:t>Obligatory insurance of civil liability of owners of land vehicles (according to international agreements) "Green Card"</w:t>
            </w:r>
          </w:p>
        </w:tc>
        <w:tc>
          <w:tcPr>
            <w:tcW w:w="993" w:type="dxa"/>
            <w:vAlign w:val="bottom"/>
          </w:tcPr>
          <w:p w:rsidR="00132B0E" w:rsidRPr="0072251B" w:rsidRDefault="00132B0E">
            <w:pPr>
              <w:jc w:val="right"/>
              <w:rPr>
                <w:lang w:val="uk-UA"/>
              </w:rPr>
            </w:pPr>
            <w:r w:rsidRPr="0072251B">
              <w:rPr>
                <w:sz w:val="22"/>
                <w:szCs w:val="22"/>
                <w:lang w:val="uk-UA"/>
              </w:rPr>
              <w:t>1 297,6</w:t>
            </w:r>
          </w:p>
        </w:tc>
        <w:tc>
          <w:tcPr>
            <w:tcW w:w="1001" w:type="dxa"/>
            <w:vAlign w:val="bottom"/>
          </w:tcPr>
          <w:p w:rsidR="00132B0E" w:rsidRPr="0072251B" w:rsidRDefault="00132B0E">
            <w:pPr>
              <w:jc w:val="right"/>
              <w:rPr>
                <w:lang w:val="uk-UA"/>
              </w:rPr>
            </w:pPr>
            <w:r w:rsidRPr="0072251B">
              <w:rPr>
                <w:sz w:val="22"/>
                <w:szCs w:val="22"/>
                <w:lang w:val="uk-UA"/>
              </w:rPr>
              <w:t>1 503,3</w:t>
            </w:r>
          </w:p>
        </w:tc>
        <w:tc>
          <w:tcPr>
            <w:tcW w:w="900" w:type="dxa"/>
            <w:vAlign w:val="bottom"/>
          </w:tcPr>
          <w:p w:rsidR="00132B0E" w:rsidRPr="0072251B" w:rsidRDefault="00132B0E">
            <w:pPr>
              <w:jc w:val="right"/>
              <w:rPr>
                <w:lang w:val="uk-UA"/>
              </w:rPr>
            </w:pPr>
            <w:r w:rsidRPr="0072251B">
              <w:rPr>
                <w:sz w:val="22"/>
                <w:szCs w:val="22"/>
                <w:lang w:val="uk-UA"/>
              </w:rPr>
              <w:t>486,6</w:t>
            </w:r>
          </w:p>
        </w:tc>
        <w:tc>
          <w:tcPr>
            <w:tcW w:w="900" w:type="dxa"/>
            <w:vAlign w:val="bottom"/>
          </w:tcPr>
          <w:p w:rsidR="00132B0E" w:rsidRPr="0072251B" w:rsidRDefault="00132B0E">
            <w:pPr>
              <w:jc w:val="right"/>
              <w:rPr>
                <w:lang w:val="uk-UA"/>
              </w:rPr>
            </w:pPr>
            <w:r w:rsidRPr="0072251B">
              <w:rPr>
                <w:sz w:val="22"/>
                <w:szCs w:val="22"/>
                <w:lang w:val="uk-UA"/>
              </w:rPr>
              <w:t>537,9</w:t>
            </w:r>
          </w:p>
        </w:tc>
        <w:tc>
          <w:tcPr>
            <w:tcW w:w="1134" w:type="dxa"/>
            <w:vAlign w:val="bottom"/>
          </w:tcPr>
          <w:p w:rsidR="00132B0E" w:rsidRPr="0072251B" w:rsidRDefault="00132B0E">
            <w:pPr>
              <w:jc w:val="right"/>
              <w:rPr>
                <w:lang w:val="uk-UA"/>
              </w:rPr>
            </w:pPr>
            <w:r w:rsidRPr="0072251B">
              <w:rPr>
                <w:sz w:val="22"/>
                <w:szCs w:val="22"/>
                <w:lang w:val="uk-UA"/>
              </w:rPr>
              <w:t>37,5</w:t>
            </w:r>
          </w:p>
        </w:tc>
        <w:tc>
          <w:tcPr>
            <w:tcW w:w="1134" w:type="dxa"/>
            <w:vAlign w:val="bottom"/>
          </w:tcPr>
          <w:p w:rsidR="00132B0E" w:rsidRPr="0072251B" w:rsidRDefault="00132B0E">
            <w:pPr>
              <w:jc w:val="right"/>
              <w:rPr>
                <w:lang w:val="uk-UA"/>
              </w:rPr>
            </w:pPr>
            <w:r w:rsidRPr="0072251B">
              <w:rPr>
                <w:sz w:val="22"/>
                <w:szCs w:val="22"/>
                <w:lang w:val="uk-UA"/>
              </w:rPr>
              <w:t>35,8</w:t>
            </w:r>
          </w:p>
        </w:tc>
        <w:tc>
          <w:tcPr>
            <w:tcW w:w="1003" w:type="dxa"/>
            <w:vAlign w:val="bottom"/>
          </w:tcPr>
          <w:p w:rsidR="00132B0E" w:rsidRPr="0072251B" w:rsidRDefault="00132B0E">
            <w:pPr>
              <w:jc w:val="right"/>
              <w:rPr>
                <w:lang w:val="uk-UA"/>
              </w:rPr>
            </w:pPr>
            <w:r w:rsidRPr="0072251B">
              <w:rPr>
                <w:sz w:val="22"/>
                <w:szCs w:val="22"/>
                <w:lang w:val="uk-UA"/>
              </w:rPr>
              <w:t>15,9</w:t>
            </w:r>
          </w:p>
        </w:tc>
        <w:tc>
          <w:tcPr>
            <w:tcW w:w="1003" w:type="dxa"/>
            <w:vAlign w:val="bottom"/>
          </w:tcPr>
          <w:p w:rsidR="00132B0E" w:rsidRPr="0072251B" w:rsidRDefault="00132B0E">
            <w:pPr>
              <w:jc w:val="right"/>
              <w:rPr>
                <w:lang w:val="uk-UA"/>
              </w:rPr>
            </w:pPr>
            <w:r w:rsidRPr="0072251B">
              <w:rPr>
                <w:sz w:val="22"/>
                <w:szCs w:val="22"/>
                <w:lang w:val="uk-UA"/>
              </w:rPr>
              <w:t>10,5</w:t>
            </w:r>
          </w:p>
        </w:tc>
      </w:tr>
      <w:tr w:rsidR="00132B0E" w:rsidRPr="0072251B" w:rsidTr="00CA0DBA">
        <w:trPr>
          <w:trHeight w:val="287"/>
        </w:trPr>
        <w:tc>
          <w:tcPr>
            <w:tcW w:w="2263" w:type="dxa"/>
            <w:vAlign w:val="bottom"/>
          </w:tcPr>
          <w:p w:rsidR="00132B0E" w:rsidRPr="009341D4" w:rsidRDefault="009341D4">
            <w:pPr>
              <w:rPr>
                <w:b/>
                <w:bCs/>
                <w:lang w:val="en-US"/>
              </w:rPr>
            </w:pPr>
            <w:r>
              <w:rPr>
                <w:b/>
                <w:bCs/>
                <w:lang w:val="en-US"/>
              </w:rPr>
              <w:t>Total</w:t>
            </w:r>
          </w:p>
        </w:tc>
        <w:tc>
          <w:tcPr>
            <w:tcW w:w="993" w:type="dxa"/>
            <w:vAlign w:val="bottom"/>
          </w:tcPr>
          <w:p w:rsidR="00132B0E" w:rsidRPr="0072251B" w:rsidRDefault="00132B0E">
            <w:pPr>
              <w:jc w:val="right"/>
              <w:rPr>
                <w:b/>
                <w:bCs/>
                <w:lang w:val="uk-UA"/>
              </w:rPr>
            </w:pPr>
            <w:r w:rsidRPr="0072251B">
              <w:rPr>
                <w:b/>
                <w:bCs/>
                <w:sz w:val="22"/>
                <w:szCs w:val="22"/>
                <w:lang w:val="uk-UA"/>
              </w:rPr>
              <w:t>10 613,0</w:t>
            </w:r>
          </w:p>
        </w:tc>
        <w:tc>
          <w:tcPr>
            <w:tcW w:w="1001" w:type="dxa"/>
            <w:vAlign w:val="bottom"/>
          </w:tcPr>
          <w:p w:rsidR="00132B0E" w:rsidRPr="0072251B" w:rsidRDefault="00132B0E">
            <w:pPr>
              <w:jc w:val="right"/>
              <w:rPr>
                <w:b/>
                <w:bCs/>
                <w:lang w:val="uk-UA"/>
              </w:rPr>
            </w:pPr>
            <w:r w:rsidRPr="0072251B">
              <w:rPr>
                <w:b/>
                <w:bCs/>
                <w:sz w:val="22"/>
                <w:szCs w:val="22"/>
                <w:lang w:val="uk-UA"/>
              </w:rPr>
              <w:t>12 975,0</w:t>
            </w:r>
          </w:p>
        </w:tc>
        <w:tc>
          <w:tcPr>
            <w:tcW w:w="900" w:type="dxa"/>
            <w:vAlign w:val="bottom"/>
          </w:tcPr>
          <w:p w:rsidR="00132B0E" w:rsidRPr="0072251B" w:rsidRDefault="00132B0E">
            <w:pPr>
              <w:jc w:val="right"/>
              <w:rPr>
                <w:b/>
                <w:bCs/>
                <w:lang w:val="uk-UA"/>
              </w:rPr>
            </w:pPr>
            <w:r w:rsidRPr="0072251B">
              <w:rPr>
                <w:b/>
                <w:bCs/>
                <w:sz w:val="22"/>
                <w:szCs w:val="22"/>
                <w:lang w:val="uk-UA"/>
              </w:rPr>
              <w:t>4 997,8</w:t>
            </w:r>
          </w:p>
        </w:tc>
        <w:tc>
          <w:tcPr>
            <w:tcW w:w="900" w:type="dxa"/>
            <w:vAlign w:val="bottom"/>
          </w:tcPr>
          <w:p w:rsidR="00132B0E" w:rsidRPr="0072251B" w:rsidRDefault="00132B0E">
            <w:pPr>
              <w:jc w:val="right"/>
              <w:rPr>
                <w:b/>
                <w:bCs/>
                <w:lang w:val="uk-UA"/>
              </w:rPr>
            </w:pPr>
            <w:r w:rsidRPr="0072251B">
              <w:rPr>
                <w:b/>
                <w:bCs/>
                <w:sz w:val="22"/>
                <w:szCs w:val="22"/>
                <w:lang w:val="uk-UA"/>
              </w:rPr>
              <w:t>5 831,6</w:t>
            </w:r>
          </w:p>
        </w:tc>
        <w:tc>
          <w:tcPr>
            <w:tcW w:w="1134" w:type="dxa"/>
            <w:vAlign w:val="bottom"/>
          </w:tcPr>
          <w:p w:rsidR="00132B0E" w:rsidRPr="0072251B" w:rsidRDefault="00132B0E">
            <w:pPr>
              <w:jc w:val="right"/>
              <w:rPr>
                <w:b/>
                <w:bCs/>
                <w:lang w:val="uk-UA"/>
              </w:rPr>
            </w:pPr>
            <w:r w:rsidRPr="0072251B">
              <w:rPr>
                <w:b/>
                <w:bCs/>
                <w:sz w:val="22"/>
                <w:szCs w:val="22"/>
                <w:lang w:val="uk-UA"/>
              </w:rPr>
              <w:t>47,1</w:t>
            </w:r>
          </w:p>
        </w:tc>
        <w:tc>
          <w:tcPr>
            <w:tcW w:w="1134" w:type="dxa"/>
            <w:vAlign w:val="bottom"/>
          </w:tcPr>
          <w:p w:rsidR="00132B0E" w:rsidRPr="0072251B" w:rsidRDefault="00132B0E">
            <w:pPr>
              <w:jc w:val="right"/>
              <w:rPr>
                <w:b/>
                <w:bCs/>
                <w:lang w:val="uk-UA"/>
              </w:rPr>
            </w:pPr>
            <w:r w:rsidRPr="0072251B">
              <w:rPr>
                <w:b/>
                <w:bCs/>
                <w:sz w:val="22"/>
                <w:szCs w:val="22"/>
                <w:lang w:val="uk-UA"/>
              </w:rPr>
              <w:t>44,9</w:t>
            </w:r>
          </w:p>
        </w:tc>
        <w:tc>
          <w:tcPr>
            <w:tcW w:w="1003" w:type="dxa"/>
            <w:vAlign w:val="bottom"/>
          </w:tcPr>
          <w:p w:rsidR="00132B0E" w:rsidRPr="0072251B" w:rsidRDefault="00132B0E">
            <w:pPr>
              <w:jc w:val="right"/>
              <w:rPr>
                <w:b/>
                <w:bCs/>
                <w:lang w:val="uk-UA"/>
              </w:rPr>
            </w:pPr>
            <w:r w:rsidRPr="0072251B">
              <w:rPr>
                <w:b/>
                <w:bCs/>
                <w:sz w:val="22"/>
                <w:szCs w:val="22"/>
                <w:lang w:val="uk-UA"/>
              </w:rPr>
              <w:t>22,3</w:t>
            </w:r>
          </w:p>
        </w:tc>
        <w:tc>
          <w:tcPr>
            <w:tcW w:w="1003" w:type="dxa"/>
            <w:vAlign w:val="bottom"/>
          </w:tcPr>
          <w:p w:rsidR="00132B0E" w:rsidRPr="0072251B" w:rsidRDefault="00132B0E">
            <w:pPr>
              <w:jc w:val="right"/>
              <w:rPr>
                <w:b/>
                <w:bCs/>
                <w:lang w:val="uk-UA"/>
              </w:rPr>
            </w:pPr>
            <w:r w:rsidRPr="0072251B">
              <w:rPr>
                <w:b/>
                <w:bCs/>
                <w:sz w:val="22"/>
                <w:szCs w:val="22"/>
                <w:lang w:val="uk-UA"/>
              </w:rPr>
              <w:t>16,7</w:t>
            </w:r>
          </w:p>
        </w:tc>
      </w:tr>
    </w:tbl>
    <w:p w:rsidR="00132B0E" w:rsidRPr="0072251B" w:rsidRDefault="00132B0E" w:rsidP="00CA0DBA">
      <w:pPr>
        <w:widowControl w:val="0"/>
        <w:ind w:firstLine="709"/>
        <w:jc w:val="both"/>
        <w:rPr>
          <w:sz w:val="28"/>
          <w:szCs w:val="28"/>
          <w:lang w:val="uk-UA"/>
        </w:rPr>
      </w:pPr>
    </w:p>
    <w:p w:rsidR="009341D4" w:rsidRDefault="009341D4" w:rsidP="00C2294D">
      <w:pPr>
        <w:ind w:firstLine="709"/>
        <w:jc w:val="both"/>
        <w:rPr>
          <w:sz w:val="28"/>
          <w:szCs w:val="28"/>
          <w:lang w:val="en-US"/>
        </w:rPr>
      </w:pPr>
      <w:r w:rsidRPr="009341D4">
        <w:rPr>
          <w:sz w:val="28"/>
          <w:szCs w:val="28"/>
          <w:lang w:val="en-US"/>
        </w:rPr>
        <w:t>In 2018, the number of concluded civil liability insurance contracts for land vehicle owners (</w:t>
      </w:r>
      <w:r w:rsidR="00BC2382">
        <w:rPr>
          <w:sz w:val="28"/>
          <w:szCs w:val="28"/>
          <w:lang w:val="en-US"/>
        </w:rPr>
        <w:t>C</w:t>
      </w:r>
      <w:r w:rsidRPr="009341D4">
        <w:rPr>
          <w:sz w:val="28"/>
          <w:szCs w:val="28"/>
          <w:lang w:val="en-US"/>
        </w:rPr>
        <w:t>MTPL) increased by 349.0 thousand units (or 4.8%) to 7 683.6 thousand units. According to the results of 2018:- for insurance of land transport (CNC insurance), the amount of net ins</w:t>
      </w:r>
      <w:r w:rsidR="00BC2382">
        <w:rPr>
          <w:sz w:val="28"/>
          <w:szCs w:val="28"/>
          <w:lang w:val="en-US"/>
        </w:rPr>
        <w:t xml:space="preserve">urance premiums amounted to </w:t>
      </w:r>
      <w:r w:rsidRPr="009341D4">
        <w:rPr>
          <w:sz w:val="28"/>
          <w:szCs w:val="28"/>
          <w:lang w:val="en-US"/>
        </w:rPr>
        <w:t>6 049.2 million</w:t>
      </w:r>
      <w:r w:rsidR="00BC2382">
        <w:rPr>
          <w:sz w:val="28"/>
          <w:szCs w:val="28"/>
          <w:lang w:val="en-US"/>
        </w:rPr>
        <w:t xml:space="preserve"> UAH</w:t>
      </w:r>
      <w:r w:rsidRPr="009341D4">
        <w:rPr>
          <w:sz w:val="28"/>
          <w:szCs w:val="28"/>
          <w:lang w:val="en-US"/>
        </w:rPr>
        <w:t>, while insurance of civil liability of owners of land vehicles (</w:t>
      </w:r>
      <w:r w:rsidR="00BC2382">
        <w:rPr>
          <w:sz w:val="28"/>
          <w:szCs w:val="28"/>
          <w:lang w:val="en-US"/>
        </w:rPr>
        <w:t>C</w:t>
      </w:r>
      <w:r w:rsidRPr="009341D4">
        <w:rPr>
          <w:sz w:val="28"/>
          <w:szCs w:val="28"/>
          <w:lang w:val="en-US"/>
        </w:rPr>
        <w:t>MTPL)</w:t>
      </w:r>
      <w:r w:rsidR="00BC2382">
        <w:rPr>
          <w:sz w:val="28"/>
          <w:szCs w:val="28"/>
          <w:lang w:val="en-US"/>
        </w:rPr>
        <w:t xml:space="preserve"> - </w:t>
      </w:r>
      <w:r w:rsidRPr="009341D4">
        <w:rPr>
          <w:sz w:val="28"/>
          <w:szCs w:val="28"/>
          <w:lang w:val="en-US"/>
        </w:rPr>
        <w:t>4 416.8 million</w:t>
      </w:r>
      <w:r w:rsidR="00BC2382">
        <w:rPr>
          <w:sz w:val="28"/>
          <w:szCs w:val="28"/>
          <w:lang w:val="en-US"/>
        </w:rPr>
        <w:t xml:space="preserve"> UAH</w:t>
      </w:r>
      <w:r w:rsidRPr="009341D4">
        <w:rPr>
          <w:sz w:val="28"/>
          <w:szCs w:val="28"/>
          <w:lang w:val="en-US"/>
        </w:rPr>
        <w:t>; when insurance of civil liability of owners of land vehicles (according to international agreements), "Green Card" - 1 254.7 million UAH;</w:t>
      </w:r>
    </w:p>
    <w:p w:rsidR="00132B0E" w:rsidRPr="0072251B" w:rsidRDefault="009341D4" w:rsidP="00EE3436">
      <w:pPr>
        <w:ind w:firstLine="709"/>
        <w:jc w:val="both"/>
        <w:rPr>
          <w:sz w:val="28"/>
          <w:szCs w:val="28"/>
          <w:lang w:val="uk-UA"/>
        </w:rPr>
      </w:pPr>
      <w:r w:rsidRPr="009341D4">
        <w:rPr>
          <w:sz w:val="28"/>
          <w:szCs w:val="28"/>
          <w:lang w:val="uk-UA"/>
        </w:rPr>
        <w:t>- in the insurance of ground transportation (CNC insurance), the net insurance payments amounted to 3 114.6 million UAH, while insurance of civil liability of owners of land vehicles (</w:t>
      </w:r>
      <w:r w:rsidR="00BC2382">
        <w:rPr>
          <w:sz w:val="28"/>
          <w:szCs w:val="28"/>
          <w:lang w:val="en-US"/>
        </w:rPr>
        <w:t>C</w:t>
      </w:r>
      <w:r w:rsidRPr="009341D4">
        <w:rPr>
          <w:sz w:val="28"/>
          <w:szCs w:val="28"/>
          <w:lang w:val="uk-UA"/>
        </w:rPr>
        <w:t>MTPL) -2 143.2 million UAH, in civil law insurance liability of owners of land vehicles (under international agreements) "Green Card" - 366,0 million UAH.</w:t>
      </w:r>
    </w:p>
    <w:p w:rsidR="009341D4" w:rsidRDefault="009341D4" w:rsidP="006B6D8E">
      <w:pPr>
        <w:ind w:firstLine="709"/>
        <w:jc w:val="both"/>
        <w:rPr>
          <w:b/>
          <w:sz w:val="28"/>
          <w:szCs w:val="28"/>
          <w:lang w:val="en-US"/>
        </w:rPr>
      </w:pPr>
    </w:p>
    <w:p w:rsidR="009341D4" w:rsidRPr="00BC2382" w:rsidRDefault="009341D4" w:rsidP="009341D4">
      <w:pPr>
        <w:pStyle w:val="21"/>
        <w:widowControl w:val="0"/>
        <w:tabs>
          <w:tab w:val="left" w:pos="1080"/>
        </w:tabs>
        <w:ind w:firstLine="720"/>
        <w:jc w:val="both"/>
        <w:rPr>
          <w:b/>
          <w:sz w:val="28"/>
          <w:szCs w:val="28"/>
          <w:lang w:val="en-US"/>
        </w:rPr>
      </w:pPr>
      <w:r w:rsidRPr="00BC2382">
        <w:rPr>
          <w:b/>
          <w:sz w:val="28"/>
          <w:szCs w:val="28"/>
          <w:lang w:val="en-US"/>
        </w:rPr>
        <w:t>Life insurance</w:t>
      </w:r>
    </w:p>
    <w:p w:rsidR="009341D4" w:rsidRPr="009341D4" w:rsidRDefault="009341D4" w:rsidP="009341D4">
      <w:pPr>
        <w:pStyle w:val="21"/>
        <w:widowControl w:val="0"/>
        <w:tabs>
          <w:tab w:val="left" w:pos="1080"/>
        </w:tabs>
        <w:spacing w:line="240" w:lineRule="auto"/>
        <w:ind w:left="0"/>
        <w:jc w:val="both"/>
        <w:rPr>
          <w:sz w:val="28"/>
          <w:szCs w:val="28"/>
          <w:lang w:val="en-US"/>
        </w:rPr>
      </w:pPr>
      <w:r w:rsidRPr="009341D4">
        <w:rPr>
          <w:sz w:val="28"/>
          <w:szCs w:val="28"/>
          <w:lang w:val="en-US"/>
        </w:rPr>
        <w:t>Gross insurance payments (premiums, contributions) for life ins</w:t>
      </w:r>
      <w:r w:rsidR="00BC2382">
        <w:rPr>
          <w:sz w:val="28"/>
          <w:szCs w:val="28"/>
          <w:lang w:val="en-US"/>
        </w:rPr>
        <w:t xml:space="preserve">urance for 2018 amounted to </w:t>
      </w:r>
      <w:r w:rsidRPr="009341D4">
        <w:rPr>
          <w:sz w:val="28"/>
          <w:szCs w:val="28"/>
          <w:lang w:val="en-US"/>
        </w:rPr>
        <w:t>3 906.1 million</w:t>
      </w:r>
      <w:r w:rsidR="00BC2382">
        <w:rPr>
          <w:sz w:val="28"/>
          <w:szCs w:val="28"/>
          <w:lang w:val="en-US"/>
        </w:rPr>
        <w:t xml:space="preserve"> UAH</w:t>
      </w:r>
      <w:r w:rsidRPr="009341D4">
        <w:rPr>
          <w:sz w:val="28"/>
          <w:szCs w:val="28"/>
          <w:lang w:val="en-US"/>
        </w:rPr>
        <w:t>, which is 34.1% more than in 201</w:t>
      </w:r>
      <w:r w:rsidR="00BC2382">
        <w:rPr>
          <w:sz w:val="28"/>
          <w:szCs w:val="28"/>
          <w:lang w:val="en-US"/>
        </w:rPr>
        <w:t xml:space="preserve">7(as of December 31, 2017 - </w:t>
      </w:r>
      <w:r w:rsidRPr="009341D4">
        <w:rPr>
          <w:sz w:val="28"/>
          <w:szCs w:val="28"/>
          <w:lang w:val="en-US"/>
        </w:rPr>
        <w:t>2,913.7 million</w:t>
      </w:r>
      <w:r w:rsidR="00BC2382">
        <w:rPr>
          <w:sz w:val="28"/>
          <w:szCs w:val="28"/>
          <w:lang w:val="en-US"/>
        </w:rPr>
        <w:t xml:space="preserve"> UAH</w:t>
      </w:r>
      <w:r w:rsidRPr="009341D4">
        <w:rPr>
          <w:sz w:val="28"/>
          <w:szCs w:val="28"/>
          <w:lang w:val="en-US"/>
        </w:rPr>
        <w:t>). The structure of gross insurance premiums (premiums, contributions) receipts as at 31.12.2018 is as follows:</w:t>
      </w:r>
    </w:p>
    <w:p w:rsidR="009341D4" w:rsidRPr="009341D4" w:rsidRDefault="00BC2382" w:rsidP="009341D4">
      <w:pPr>
        <w:pStyle w:val="21"/>
        <w:widowControl w:val="0"/>
        <w:tabs>
          <w:tab w:val="left" w:pos="1080"/>
        </w:tabs>
        <w:spacing w:line="240" w:lineRule="auto"/>
        <w:ind w:firstLine="720"/>
        <w:jc w:val="both"/>
        <w:rPr>
          <w:sz w:val="28"/>
          <w:szCs w:val="28"/>
          <w:lang w:val="en-US"/>
        </w:rPr>
      </w:pPr>
      <w:r>
        <w:rPr>
          <w:sz w:val="28"/>
          <w:szCs w:val="28"/>
          <w:lang w:val="en-US"/>
        </w:rPr>
        <w:t>3 792</w:t>
      </w:r>
      <w:proofErr w:type="gramStart"/>
      <w:r>
        <w:rPr>
          <w:sz w:val="28"/>
          <w:szCs w:val="28"/>
          <w:lang w:val="en-US"/>
        </w:rPr>
        <w:t>,9</w:t>
      </w:r>
      <w:proofErr w:type="gramEnd"/>
      <w:r>
        <w:rPr>
          <w:sz w:val="28"/>
          <w:szCs w:val="28"/>
          <w:lang w:val="en-US"/>
        </w:rPr>
        <w:t xml:space="preserve"> million</w:t>
      </w:r>
      <w:r w:rsidR="009341D4" w:rsidRPr="009341D4">
        <w:rPr>
          <w:sz w:val="28"/>
          <w:szCs w:val="28"/>
          <w:lang w:val="en-US"/>
        </w:rPr>
        <w:t xml:space="preserve"> UAH (or 97.1%) received from individuals;</w:t>
      </w:r>
    </w:p>
    <w:p w:rsidR="009341D4" w:rsidRPr="009341D4" w:rsidRDefault="00BC2382" w:rsidP="009341D4">
      <w:pPr>
        <w:pStyle w:val="21"/>
        <w:widowControl w:val="0"/>
        <w:tabs>
          <w:tab w:val="left" w:pos="1080"/>
        </w:tabs>
        <w:spacing w:line="240" w:lineRule="auto"/>
        <w:ind w:firstLine="720"/>
        <w:jc w:val="both"/>
        <w:rPr>
          <w:sz w:val="28"/>
          <w:szCs w:val="28"/>
          <w:lang w:val="en-US"/>
        </w:rPr>
      </w:pPr>
      <w:r>
        <w:rPr>
          <w:sz w:val="28"/>
          <w:szCs w:val="28"/>
          <w:lang w:val="en-US"/>
        </w:rPr>
        <w:t>113.2 million</w:t>
      </w:r>
      <w:r w:rsidR="009341D4" w:rsidRPr="009341D4">
        <w:rPr>
          <w:sz w:val="28"/>
          <w:szCs w:val="28"/>
          <w:lang w:val="en-US"/>
        </w:rPr>
        <w:t xml:space="preserve"> UAH (or 2.9%) received from legal entities.</w:t>
      </w:r>
    </w:p>
    <w:p w:rsidR="009341D4" w:rsidRDefault="009341D4" w:rsidP="009341D4">
      <w:pPr>
        <w:pStyle w:val="21"/>
        <w:widowControl w:val="0"/>
        <w:tabs>
          <w:tab w:val="left" w:pos="1080"/>
        </w:tabs>
        <w:spacing w:after="0" w:line="240" w:lineRule="auto"/>
        <w:ind w:left="0" w:firstLine="720"/>
        <w:jc w:val="both"/>
        <w:rPr>
          <w:sz w:val="28"/>
          <w:szCs w:val="28"/>
          <w:lang w:val="en-US"/>
        </w:rPr>
      </w:pPr>
      <w:r w:rsidRPr="009341D4">
        <w:rPr>
          <w:sz w:val="28"/>
          <w:szCs w:val="28"/>
          <w:lang w:val="en-US"/>
        </w:rPr>
        <w:t xml:space="preserve">In 2018, the number of insured individuals increased by 9.7% or by 397 193 </w:t>
      </w:r>
      <w:r w:rsidRPr="009341D4">
        <w:rPr>
          <w:sz w:val="28"/>
          <w:szCs w:val="28"/>
          <w:lang w:val="en-US"/>
        </w:rPr>
        <w:lastRenderedPageBreak/>
        <w:t>persons (as of December 31, 2017, 4 076 718 individuals were insured, as of December 31, 2014 - 4 473 911 individuals).</w:t>
      </w:r>
    </w:p>
    <w:p w:rsidR="00F533B5" w:rsidRPr="0072251B" w:rsidRDefault="009341D4" w:rsidP="00E711C0">
      <w:pPr>
        <w:ind w:firstLine="708"/>
        <w:jc w:val="both"/>
        <w:rPr>
          <w:sz w:val="28"/>
          <w:szCs w:val="28"/>
          <w:lang w:val="uk-UA"/>
        </w:rPr>
      </w:pPr>
      <w:r w:rsidRPr="009341D4">
        <w:rPr>
          <w:sz w:val="28"/>
          <w:szCs w:val="28"/>
          <w:lang w:val="uk-UA"/>
        </w:rPr>
        <w:t>During 2018, 3,016,611 individuals were insured, which is by 96.8% or by 1 483 790 more persons compared to the corresponding period of 2017(in 2017, 1,532,821 individuals were insured).The volume of gross insurance premiums from life ins</w:t>
      </w:r>
      <w:r w:rsidR="00BC2382">
        <w:rPr>
          <w:sz w:val="28"/>
          <w:szCs w:val="28"/>
          <w:lang w:val="uk-UA"/>
        </w:rPr>
        <w:t>urance for 2018 amounted to 704.9 million</w:t>
      </w:r>
      <w:r w:rsidR="00BC2382">
        <w:rPr>
          <w:sz w:val="28"/>
          <w:szCs w:val="28"/>
          <w:lang w:val="en-US"/>
        </w:rPr>
        <w:t xml:space="preserve"> UAH</w:t>
      </w:r>
      <w:r w:rsidRPr="009341D4">
        <w:rPr>
          <w:sz w:val="28"/>
          <w:szCs w:val="28"/>
          <w:lang w:val="uk-UA"/>
        </w:rPr>
        <w:t xml:space="preserve"> , which is</w:t>
      </w:r>
      <w:r w:rsidR="00BC2382">
        <w:rPr>
          <w:sz w:val="28"/>
          <w:szCs w:val="28"/>
          <w:lang w:val="uk-UA"/>
        </w:rPr>
        <w:t xml:space="preserve"> by 26.7% more than in 2017(</w:t>
      </w:r>
      <w:r w:rsidRPr="009341D4">
        <w:rPr>
          <w:sz w:val="28"/>
          <w:szCs w:val="28"/>
          <w:lang w:val="uk-UA"/>
        </w:rPr>
        <w:t>556.3 million</w:t>
      </w:r>
      <w:r w:rsidR="00BC2382">
        <w:rPr>
          <w:sz w:val="28"/>
          <w:szCs w:val="28"/>
          <w:lang w:val="en-US"/>
        </w:rPr>
        <w:t xml:space="preserve"> UAH</w:t>
      </w:r>
      <w:r w:rsidRPr="009341D4">
        <w:rPr>
          <w:sz w:val="28"/>
          <w:szCs w:val="28"/>
          <w:lang w:val="uk-UA"/>
        </w:rPr>
        <w:t>).</w:t>
      </w:r>
    </w:p>
    <w:p w:rsidR="009341D4" w:rsidRDefault="009341D4" w:rsidP="006B6D8E">
      <w:pPr>
        <w:spacing w:line="360" w:lineRule="auto"/>
        <w:ind w:firstLine="720"/>
        <w:jc w:val="both"/>
        <w:rPr>
          <w:b/>
          <w:sz w:val="28"/>
          <w:szCs w:val="28"/>
          <w:lang w:val="en-US"/>
        </w:rPr>
      </w:pPr>
    </w:p>
    <w:p w:rsidR="00132B0E" w:rsidRPr="009341D4" w:rsidRDefault="009341D4" w:rsidP="006B6D8E">
      <w:pPr>
        <w:spacing w:line="360" w:lineRule="auto"/>
        <w:ind w:firstLine="720"/>
        <w:jc w:val="both"/>
        <w:rPr>
          <w:b/>
          <w:sz w:val="28"/>
          <w:szCs w:val="28"/>
          <w:lang w:val="en-US"/>
        </w:rPr>
      </w:pPr>
      <w:r>
        <w:rPr>
          <w:b/>
          <w:sz w:val="28"/>
          <w:szCs w:val="28"/>
          <w:lang w:val="en-US"/>
        </w:rPr>
        <w:t>Reinsurance</w:t>
      </w:r>
    </w:p>
    <w:p w:rsidR="00132B0E" w:rsidRPr="0072251B" w:rsidRDefault="00132B0E" w:rsidP="00281978">
      <w:pPr>
        <w:ind w:firstLine="720"/>
        <w:jc w:val="both"/>
        <w:rPr>
          <w:sz w:val="10"/>
          <w:szCs w:val="10"/>
          <w:lang w:val="uk-UA"/>
        </w:rPr>
      </w:pPr>
    </w:p>
    <w:p w:rsidR="009341D4" w:rsidRPr="009341D4" w:rsidRDefault="009341D4" w:rsidP="009341D4">
      <w:pPr>
        <w:pStyle w:val="21"/>
        <w:widowControl w:val="0"/>
        <w:spacing w:line="240" w:lineRule="auto"/>
        <w:ind w:firstLine="720"/>
        <w:jc w:val="both"/>
        <w:rPr>
          <w:sz w:val="28"/>
          <w:szCs w:val="28"/>
          <w:lang w:val="en-US"/>
        </w:rPr>
      </w:pPr>
      <w:r w:rsidRPr="009341D4">
        <w:rPr>
          <w:sz w:val="28"/>
          <w:szCs w:val="28"/>
          <w:lang w:val="en-US"/>
        </w:rPr>
        <w:t>Under the reinsurance contracts for 2018 Ukrainian insurers (donors, reinsurers) paid shar</w:t>
      </w:r>
      <w:r w:rsidR="00BC2382">
        <w:rPr>
          <w:sz w:val="28"/>
          <w:szCs w:val="28"/>
          <w:lang w:val="en-US"/>
        </w:rPr>
        <w:t>es of insurance premiums of 17 940.7 million UAH</w:t>
      </w:r>
      <w:r w:rsidRPr="009341D4">
        <w:rPr>
          <w:sz w:val="28"/>
          <w:szCs w:val="28"/>
          <w:lang w:val="en-US"/>
        </w:rPr>
        <w:t xml:space="preserve"> (for 2017 - UAH 18 333</w:t>
      </w:r>
      <w:proofErr w:type="gramStart"/>
      <w:r w:rsidRPr="009341D4">
        <w:rPr>
          <w:sz w:val="28"/>
          <w:szCs w:val="28"/>
          <w:lang w:val="en-US"/>
        </w:rPr>
        <w:t>,6</w:t>
      </w:r>
      <w:proofErr w:type="gramEnd"/>
      <w:r w:rsidRPr="009341D4">
        <w:rPr>
          <w:sz w:val="28"/>
          <w:szCs w:val="28"/>
          <w:lang w:val="en-US"/>
        </w:rPr>
        <w:t xml:space="preserve"> million) (Figure 1), of which:</w:t>
      </w:r>
    </w:p>
    <w:p w:rsidR="009341D4" w:rsidRPr="009341D4" w:rsidRDefault="009341D4" w:rsidP="009341D4">
      <w:pPr>
        <w:pStyle w:val="21"/>
        <w:widowControl w:val="0"/>
        <w:spacing w:line="240" w:lineRule="auto"/>
        <w:ind w:firstLine="720"/>
        <w:jc w:val="both"/>
        <w:rPr>
          <w:sz w:val="28"/>
          <w:szCs w:val="28"/>
          <w:lang w:val="en-US"/>
        </w:rPr>
      </w:pPr>
      <w:r w:rsidRPr="009341D4">
        <w:rPr>
          <w:sz w:val="28"/>
          <w:szCs w:val="28"/>
          <w:lang w:val="en-US"/>
        </w:rPr>
        <w:t xml:space="preserve">• </w:t>
      </w:r>
      <w:proofErr w:type="gramStart"/>
      <w:r w:rsidRPr="009341D4">
        <w:rPr>
          <w:sz w:val="28"/>
          <w:szCs w:val="28"/>
          <w:lang w:val="en-US"/>
        </w:rPr>
        <w:t>t</w:t>
      </w:r>
      <w:r w:rsidR="00BC2382">
        <w:rPr>
          <w:sz w:val="28"/>
          <w:szCs w:val="28"/>
          <w:lang w:val="en-US"/>
        </w:rPr>
        <w:t>o</w:t>
      </w:r>
      <w:proofErr w:type="gramEnd"/>
      <w:r w:rsidR="00BC2382">
        <w:rPr>
          <w:sz w:val="28"/>
          <w:szCs w:val="28"/>
          <w:lang w:val="en-US"/>
        </w:rPr>
        <w:t xml:space="preserve"> non-resident reinsurers - </w:t>
      </w:r>
      <w:r w:rsidRPr="009341D4">
        <w:rPr>
          <w:sz w:val="28"/>
          <w:szCs w:val="28"/>
          <w:lang w:val="en-US"/>
        </w:rPr>
        <w:t>2 997.5 million</w:t>
      </w:r>
      <w:r w:rsidR="00BC2382">
        <w:rPr>
          <w:sz w:val="28"/>
          <w:szCs w:val="28"/>
          <w:lang w:val="en-US"/>
        </w:rPr>
        <w:t xml:space="preserve"> UAH</w:t>
      </w:r>
      <w:r w:rsidRPr="009341D4">
        <w:rPr>
          <w:sz w:val="28"/>
          <w:szCs w:val="28"/>
          <w:lang w:val="en-US"/>
        </w:rPr>
        <w:t>, which is 11.7% le</w:t>
      </w:r>
      <w:r w:rsidR="00BC2382">
        <w:rPr>
          <w:sz w:val="28"/>
          <w:szCs w:val="28"/>
          <w:lang w:val="en-US"/>
        </w:rPr>
        <w:t>ss than in 2017 (</w:t>
      </w:r>
      <w:r w:rsidRPr="009341D4">
        <w:rPr>
          <w:sz w:val="28"/>
          <w:szCs w:val="28"/>
          <w:lang w:val="en-US"/>
        </w:rPr>
        <w:t xml:space="preserve">3,396.2 million </w:t>
      </w:r>
      <w:r w:rsidR="00BC2382">
        <w:rPr>
          <w:sz w:val="28"/>
          <w:szCs w:val="28"/>
          <w:lang w:val="en-US"/>
        </w:rPr>
        <w:t xml:space="preserve">UAH </w:t>
      </w:r>
      <w:r w:rsidRPr="009341D4">
        <w:rPr>
          <w:sz w:val="28"/>
          <w:szCs w:val="28"/>
          <w:lang w:val="en-US"/>
        </w:rPr>
        <w:t>in 2017);</w:t>
      </w:r>
    </w:p>
    <w:p w:rsidR="009341D4" w:rsidRDefault="00BC2382" w:rsidP="009341D4">
      <w:pPr>
        <w:pStyle w:val="21"/>
        <w:widowControl w:val="0"/>
        <w:spacing w:after="0" w:line="240" w:lineRule="auto"/>
        <w:ind w:left="0" w:firstLine="720"/>
        <w:jc w:val="both"/>
        <w:rPr>
          <w:sz w:val="28"/>
          <w:szCs w:val="28"/>
          <w:lang w:val="en-US"/>
        </w:rPr>
      </w:pPr>
      <w:r>
        <w:rPr>
          <w:sz w:val="28"/>
          <w:szCs w:val="28"/>
          <w:lang w:val="en-US"/>
        </w:rPr>
        <w:t xml:space="preserve">• </w:t>
      </w:r>
      <w:proofErr w:type="gramStart"/>
      <w:r>
        <w:rPr>
          <w:sz w:val="28"/>
          <w:szCs w:val="28"/>
          <w:lang w:val="en-US"/>
        </w:rPr>
        <w:t>to</w:t>
      </w:r>
      <w:proofErr w:type="gramEnd"/>
      <w:r>
        <w:rPr>
          <w:sz w:val="28"/>
          <w:szCs w:val="28"/>
          <w:lang w:val="en-US"/>
        </w:rPr>
        <w:t xml:space="preserve"> reinsurers-residents - </w:t>
      </w:r>
      <w:r w:rsidR="009341D4" w:rsidRPr="009341D4">
        <w:rPr>
          <w:sz w:val="28"/>
          <w:szCs w:val="28"/>
          <w:lang w:val="en-US"/>
        </w:rPr>
        <w:t>14 943.2 million</w:t>
      </w:r>
      <w:r>
        <w:rPr>
          <w:sz w:val="28"/>
          <w:szCs w:val="28"/>
          <w:lang w:val="en-US"/>
        </w:rPr>
        <w:t xml:space="preserve"> UAH</w:t>
      </w:r>
      <w:r w:rsidR="009341D4" w:rsidRPr="009341D4">
        <w:rPr>
          <w:sz w:val="28"/>
          <w:szCs w:val="28"/>
          <w:lang w:val="en-US"/>
        </w:rPr>
        <w:t>, which is by 0.04% more compared to the corresponding figure in 2017 (for 2017 -14 937.4 million UAH).</w:t>
      </w:r>
    </w:p>
    <w:p w:rsidR="00633BE7" w:rsidRPr="00633BE7" w:rsidRDefault="00633BE7" w:rsidP="00633BE7">
      <w:pPr>
        <w:pStyle w:val="Default"/>
        <w:ind w:firstLine="708"/>
        <w:jc w:val="both"/>
        <w:rPr>
          <w:sz w:val="28"/>
          <w:szCs w:val="28"/>
          <w:lang w:val="en-US"/>
        </w:rPr>
      </w:pPr>
      <w:r w:rsidRPr="00633BE7">
        <w:rPr>
          <w:sz w:val="28"/>
          <w:szCs w:val="28"/>
          <w:lang w:val="en-US"/>
        </w:rPr>
        <w:t>The total sum of insurance premiums, compensated by reinsu</w:t>
      </w:r>
      <w:r w:rsidR="00BC2382">
        <w:rPr>
          <w:sz w:val="28"/>
          <w:szCs w:val="28"/>
          <w:lang w:val="en-US"/>
        </w:rPr>
        <w:t xml:space="preserve">rers, amounted to </w:t>
      </w:r>
      <w:r w:rsidRPr="00633BE7">
        <w:rPr>
          <w:sz w:val="28"/>
          <w:szCs w:val="28"/>
          <w:lang w:val="en-US"/>
        </w:rPr>
        <w:t>2 459.0 million</w:t>
      </w:r>
      <w:r w:rsidR="00BC2382">
        <w:rPr>
          <w:sz w:val="28"/>
          <w:szCs w:val="28"/>
          <w:lang w:val="en-US"/>
        </w:rPr>
        <w:t xml:space="preserve"> UAH (for 2017 - </w:t>
      </w:r>
      <w:r w:rsidRPr="00633BE7">
        <w:rPr>
          <w:sz w:val="28"/>
          <w:szCs w:val="28"/>
          <w:lang w:val="en-US"/>
        </w:rPr>
        <w:t>1,208.2 million</w:t>
      </w:r>
      <w:r w:rsidR="00BC2382">
        <w:rPr>
          <w:sz w:val="28"/>
          <w:szCs w:val="28"/>
          <w:lang w:val="en-US"/>
        </w:rPr>
        <w:t xml:space="preserve"> UAH</w:t>
      </w:r>
      <w:r w:rsidRPr="00633BE7">
        <w:rPr>
          <w:sz w:val="28"/>
          <w:szCs w:val="28"/>
          <w:lang w:val="en-US"/>
        </w:rPr>
        <w:t>), including compensation:</w:t>
      </w:r>
    </w:p>
    <w:p w:rsidR="00633BE7" w:rsidRPr="00633BE7" w:rsidRDefault="00BC2382" w:rsidP="00633BE7">
      <w:pPr>
        <w:pStyle w:val="Default"/>
        <w:ind w:firstLine="708"/>
        <w:jc w:val="both"/>
        <w:rPr>
          <w:sz w:val="28"/>
          <w:szCs w:val="28"/>
          <w:lang w:val="en-US"/>
        </w:rPr>
      </w:pPr>
      <w:r>
        <w:rPr>
          <w:sz w:val="28"/>
          <w:szCs w:val="28"/>
          <w:lang w:val="en-US"/>
        </w:rPr>
        <w:t xml:space="preserve">• </w:t>
      </w:r>
      <w:proofErr w:type="gramStart"/>
      <w:r>
        <w:rPr>
          <w:sz w:val="28"/>
          <w:szCs w:val="28"/>
          <w:lang w:val="en-US"/>
        </w:rPr>
        <w:t>non-resident</w:t>
      </w:r>
      <w:proofErr w:type="gramEnd"/>
      <w:r>
        <w:rPr>
          <w:sz w:val="28"/>
          <w:szCs w:val="28"/>
          <w:lang w:val="en-US"/>
        </w:rPr>
        <w:t xml:space="preserve"> reinsurers - </w:t>
      </w:r>
      <w:r w:rsidR="00633BE7" w:rsidRPr="00633BE7">
        <w:rPr>
          <w:sz w:val="28"/>
          <w:szCs w:val="28"/>
          <w:lang w:val="en-US"/>
        </w:rPr>
        <w:t>2 028.2 million</w:t>
      </w:r>
      <w:r>
        <w:rPr>
          <w:sz w:val="28"/>
          <w:szCs w:val="28"/>
          <w:lang w:val="en-US"/>
        </w:rPr>
        <w:t xml:space="preserve"> UAH</w:t>
      </w:r>
      <w:r w:rsidR="00633BE7" w:rsidRPr="00633BE7">
        <w:rPr>
          <w:sz w:val="28"/>
          <w:szCs w:val="28"/>
          <w:lang w:val="en-US"/>
        </w:rPr>
        <w:t>, which is b</w:t>
      </w:r>
      <w:r>
        <w:rPr>
          <w:sz w:val="28"/>
          <w:szCs w:val="28"/>
          <w:lang w:val="en-US"/>
        </w:rPr>
        <w:t>y 118.5% more than in 2017 (</w:t>
      </w:r>
      <w:r w:rsidR="00633BE7" w:rsidRPr="00633BE7">
        <w:rPr>
          <w:sz w:val="28"/>
          <w:szCs w:val="28"/>
          <w:lang w:val="en-US"/>
        </w:rPr>
        <w:t>2 028.2 million</w:t>
      </w:r>
      <w:r>
        <w:rPr>
          <w:sz w:val="28"/>
          <w:szCs w:val="28"/>
          <w:lang w:val="en-US"/>
        </w:rPr>
        <w:t xml:space="preserve"> UAH</w:t>
      </w:r>
      <w:r w:rsidR="00633BE7" w:rsidRPr="00633BE7">
        <w:rPr>
          <w:sz w:val="28"/>
          <w:szCs w:val="28"/>
          <w:lang w:val="en-US"/>
        </w:rPr>
        <w:t xml:space="preserve"> in 2017);</w:t>
      </w:r>
    </w:p>
    <w:p w:rsidR="00633BE7" w:rsidRDefault="00BC2382" w:rsidP="00633BE7">
      <w:pPr>
        <w:pStyle w:val="Default"/>
        <w:ind w:firstLine="708"/>
        <w:jc w:val="both"/>
        <w:rPr>
          <w:sz w:val="28"/>
          <w:szCs w:val="28"/>
          <w:lang w:val="en-US"/>
        </w:rPr>
      </w:pPr>
      <w:r>
        <w:rPr>
          <w:sz w:val="28"/>
          <w:szCs w:val="28"/>
          <w:lang w:val="en-US"/>
        </w:rPr>
        <w:t xml:space="preserve">• </w:t>
      </w:r>
      <w:proofErr w:type="gramStart"/>
      <w:r>
        <w:rPr>
          <w:sz w:val="28"/>
          <w:szCs w:val="28"/>
          <w:lang w:val="en-US"/>
        </w:rPr>
        <w:t>resident</w:t>
      </w:r>
      <w:proofErr w:type="gramEnd"/>
      <w:r>
        <w:rPr>
          <w:sz w:val="28"/>
          <w:szCs w:val="28"/>
          <w:lang w:val="en-US"/>
        </w:rPr>
        <w:t xml:space="preserve"> reinsurers - </w:t>
      </w:r>
      <w:r w:rsidR="00633BE7" w:rsidRPr="00633BE7">
        <w:rPr>
          <w:sz w:val="28"/>
          <w:szCs w:val="28"/>
          <w:lang w:val="en-US"/>
        </w:rPr>
        <w:t>430.8 million</w:t>
      </w:r>
      <w:r>
        <w:rPr>
          <w:sz w:val="28"/>
          <w:szCs w:val="28"/>
          <w:lang w:val="en-US"/>
        </w:rPr>
        <w:t xml:space="preserve"> UAH</w:t>
      </w:r>
      <w:r w:rsidR="00633BE7" w:rsidRPr="00633BE7">
        <w:rPr>
          <w:sz w:val="28"/>
          <w:szCs w:val="28"/>
          <w:lang w:val="en-US"/>
        </w:rPr>
        <w:t>, which is by 53.9% more compared to the corresponding index in 2017 (in 2017 -280.0 million UAH).The structure of initial reinsurance by types of insuran</w:t>
      </w:r>
      <w:r>
        <w:rPr>
          <w:sz w:val="28"/>
          <w:szCs w:val="28"/>
          <w:lang w:val="en-US"/>
        </w:rPr>
        <w:t>ce as of December 31, 2012 (</w:t>
      </w:r>
      <w:r w:rsidR="00633BE7" w:rsidRPr="00633BE7">
        <w:rPr>
          <w:sz w:val="28"/>
          <w:szCs w:val="28"/>
          <w:lang w:val="en-US"/>
        </w:rPr>
        <w:t>million</w:t>
      </w:r>
      <w:r>
        <w:rPr>
          <w:sz w:val="28"/>
          <w:szCs w:val="28"/>
          <w:lang w:val="en-US"/>
        </w:rPr>
        <w:t xml:space="preserve"> UAH</w:t>
      </w:r>
      <w:r w:rsidR="00911B49">
        <w:rPr>
          <w:sz w:val="28"/>
          <w:szCs w:val="28"/>
          <w:lang w:val="en-US"/>
        </w:rPr>
        <w:t>) is shown in Figure 1</w:t>
      </w:r>
      <w:r w:rsidR="00633BE7" w:rsidRPr="00633BE7">
        <w:rPr>
          <w:sz w:val="28"/>
          <w:szCs w:val="28"/>
          <w:lang w:val="en-US"/>
        </w:rPr>
        <w:t>.</w:t>
      </w:r>
    </w:p>
    <w:p w:rsidR="00633BE7" w:rsidRDefault="00633BE7" w:rsidP="00633BE7">
      <w:pPr>
        <w:pStyle w:val="Default"/>
        <w:ind w:firstLine="708"/>
        <w:jc w:val="both"/>
        <w:rPr>
          <w:sz w:val="28"/>
          <w:szCs w:val="28"/>
          <w:lang w:val="en-US"/>
        </w:rPr>
      </w:pPr>
    </w:p>
    <w:p w:rsidR="00633BE7" w:rsidRDefault="00633BE7" w:rsidP="00633BE7">
      <w:pPr>
        <w:pStyle w:val="Default"/>
        <w:ind w:firstLine="708"/>
        <w:jc w:val="both"/>
        <w:rPr>
          <w:sz w:val="28"/>
          <w:szCs w:val="28"/>
          <w:lang w:val="en-US"/>
        </w:rPr>
      </w:pPr>
      <w:r w:rsidRPr="00633BE7">
        <w:rPr>
          <w:sz w:val="28"/>
          <w:szCs w:val="28"/>
          <w:lang w:val="en-US"/>
        </w:rPr>
        <w:t xml:space="preserve">In the structure of initial reinsurance as of December 31, 2012, the most paid shares of insurance premiums for the following types of insurance, as: property </w:t>
      </w:r>
      <w:r w:rsidR="00BC2382">
        <w:rPr>
          <w:sz w:val="28"/>
          <w:szCs w:val="28"/>
          <w:lang w:val="en-US"/>
        </w:rPr>
        <w:t>insurance - 3 771.3 million UAH</w:t>
      </w:r>
      <w:r w:rsidRPr="00633BE7">
        <w:rPr>
          <w:sz w:val="28"/>
          <w:szCs w:val="28"/>
          <w:lang w:val="en-US"/>
        </w:rPr>
        <w:t xml:space="preserve"> (or 21.0%); in</w:t>
      </w:r>
      <w:r w:rsidR="00BC2382">
        <w:rPr>
          <w:sz w:val="28"/>
          <w:szCs w:val="28"/>
          <w:lang w:val="en-US"/>
        </w:rPr>
        <w:t>surance of financial risks - 3 617.2 million UAH (or 20.2%); i</w:t>
      </w:r>
      <w:r w:rsidRPr="00633BE7">
        <w:rPr>
          <w:sz w:val="28"/>
          <w:szCs w:val="28"/>
          <w:lang w:val="en-US"/>
        </w:rPr>
        <w:t xml:space="preserve">nsurance against fire risks and risks of natural </w:t>
      </w:r>
      <w:r w:rsidR="00BC2382">
        <w:rPr>
          <w:sz w:val="28"/>
          <w:szCs w:val="28"/>
          <w:lang w:val="en-US"/>
        </w:rPr>
        <w:t>disasters - 2 772.3 million UAH</w:t>
      </w:r>
      <w:r w:rsidRPr="00633BE7">
        <w:rPr>
          <w:sz w:val="28"/>
          <w:szCs w:val="28"/>
          <w:lang w:val="en-US"/>
        </w:rPr>
        <w:t xml:space="preserve"> (or 15.5%) insurance of cargoes and luggage (load-</w:t>
      </w:r>
      <w:r w:rsidR="00BC2382">
        <w:rPr>
          <w:sz w:val="28"/>
          <w:szCs w:val="28"/>
          <w:lang w:val="en-US"/>
        </w:rPr>
        <w:t>carrying) - 1 538.8 million UAH (or 8.6%); i</w:t>
      </w:r>
      <w:r w:rsidRPr="00633BE7">
        <w:rPr>
          <w:sz w:val="28"/>
          <w:szCs w:val="28"/>
          <w:lang w:val="en-US"/>
        </w:rPr>
        <w:t>nsurance of ground transportation (CNC i</w:t>
      </w:r>
      <w:r w:rsidR="00BC2382">
        <w:rPr>
          <w:sz w:val="28"/>
          <w:szCs w:val="28"/>
          <w:lang w:val="en-US"/>
        </w:rPr>
        <w:t>nsurance) - 1 273.8 million UAH</w:t>
      </w:r>
      <w:r w:rsidRPr="00633BE7">
        <w:rPr>
          <w:sz w:val="28"/>
          <w:szCs w:val="28"/>
          <w:lang w:val="en-US"/>
        </w:rPr>
        <w:t xml:space="preserve"> (or 7.1%); liability insurance against</w:t>
      </w:r>
      <w:r w:rsidR="00BC2382">
        <w:rPr>
          <w:sz w:val="28"/>
          <w:szCs w:val="28"/>
          <w:lang w:val="en-US"/>
        </w:rPr>
        <w:t xml:space="preserve"> third parties - 1 221.9 million UAH</w:t>
      </w:r>
      <w:r w:rsidRPr="00633BE7">
        <w:rPr>
          <w:sz w:val="28"/>
          <w:szCs w:val="28"/>
          <w:lang w:val="en-US"/>
        </w:rPr>
        <w:t xml:space="preserve"> (or 6.8%); aviatio</w:t>
      </w:r>
      <w:r w:rsidR="00BC2382">
        <w:rPr>
          <w:sz w:val="28"/>
          <w:szCs w:val="28"/>
          <w:lang w:val="en-US"/>
        </w:rPr>
        <w:t>n insurance - 694.7 million UAH</w:t>
      </w:r>
      <w:r w:rsidRPr="00633BE7">
        <w:rPr>
          <w:sz w:val="28"/>
          <w:szCs w:val="28"/>
          <w:lang w:val="en-US"/>
        </w:rPr>
        <w:t xml:space="preserve"> (or 3.9%).</w:t>
      </w:r>
    </w:p>
    <w:p w:rsidR="00633BE7" w:rsidRDefault="00633BE7" w:rsidP="00796AFC">
      <w:pPr>
        <w:pStyle w:val="Default"/>
        <w:ind w:firstLine="708"/>
        <w:jc w:val="both"/>
        <w:rPr>
          <w:sz w:val="28"/>
          <w:szCs w:val="28"/>
          <w:lang w:val="en-US"/>
        </w:rPr>
      </w:pPr>
    </w:p>
    <w:p w:rsidR="00132B0E" w:rsidRPr="0072251B" w:rsidRDefault="00EB2FF9" w:rsidP="0025057B">
      <w:pPr>
        <w:pStyle w:val="Default"/>
        <w:jc w:val="center"/>
        <w:rPr>
          <w:sz w:val="28"/>
          <w:szCs w:val="28"/>
          <w:lang w:val="uk-UA"/>
        </w:rPr>
      </w:pPr>
      <w:r w:rsidRPr="0072251B">
        <w:rPr>
          <w:noProof/>
        </w:rPr>
        <w:lastRenderedPageBreak/>
        <w:drawing>
          <wp:inline distT="0" distB="0" distL="0" distR="0">
            <wp:extent cx="5800725" cy="3781425"/>
            <wp:effectExtent l="19050" t="0" r="9525" b="0"/>
            <wp:docPr id="15" name="Рисунок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2B0E" w:rsidRPr="0072251B" w:rsidRDefault="00164C81" w:rsidP="00D23572">
      <w:pPr>
        <w:pStyle w:val="21"/>
        <w:tabs>
          <w:tab w:val="num" w:pos="1287"/>
        </w:tabs>
        <w:spacing w:after="0" w:line="240" w:lineRule="auto"/>
        <w:ind w:left="0" w:firstLine="720"/>
        <w:jc w:val="both"/>
        <w:rPr>
          <w:sz w:val="28"/>
          <w:szCs w:val="28"/>
          <w:lang w:val="uk-UA"/>
        </w:rPr>
      </w:pPr>
      <w:r>
        <w:rPr>
          <w:sz w:val="28"/>
          <w:szCs w:val="28"/>
          <w:lang w:val="uk-UA"/>
        </w:rPr>
        <w:t>Fig. 1</w:t>
      </w:r>
      <w:r w:rsidR="00EA41CA" w:rsidRPr="00EA41CA">
        <w:rPr>
          <w:sz w:val="28"/>
          <w:szCs w:val="28"/>
          <w:lang w:val="uk-UA"/>
        </w:rPr>
        <w:t xml:space="preserve"> Structure of initial reinsurance by types of insurance</w:t>
      </w:r>
    </w:p>
    <w:p w:rsidR="00EA41CA" w:rsidRDefault="00EA41CA" w:rsidP="001D5A53">
      <w:pPr>
        <w:pStyle w:val="21"/>
        <w:tabs>
          <w:tab w:val="num" w:pos="1287"/>
        </w:tabs>
        <w:spacing w:after="0" w:line="240" w:lineRule="auto"/>
        <w:ind w:left="0" w:firstLine="720"/>
        <w:jc w:val="both"/>
        <w:rPr>
          <w:sz w:val="28"/>
          <w:szCs w:val="28"/>
          <w:lang w:val="en-US"/>
        </w:rPr>
      </w:pPr>
    </w:p>
    <w:p w:rsidR="00EA41CA" w:rsidRDefault="00EA41CA" w:rsidP="009A6946">
      <w:pPr>
        <w:widowControl w:val="0"/>
        <w:ind w:firstLine="709"/>
        <w:jc w:val="both"/>
        <w:rPr>
          <w:sz w:val="28"/>
          <w:szCs w:val="28"/>
          <w:lang w:val="en-US"/>
        </w:rPr>
      </w:pPr>
      <w:r w:rsidRPr="00EA41CA">
        <w:rPr>
          <w:sz w:val="28"/>
          <w:szCs w:val="28"/>
          <w:lang w:val="en-US"/>
        </w:rPr>
        <w:t>The ratio of initial reinsurance to gross insurance premiums as at 31.12.2018 amounted to 36.3%, which is 5.9 percentage points less than the same indicator last year and by 0.3 gross premiums more than in 2016 (as of December 31, 2017 - 42.2%, as of December 31, 2014 - 36.0%).During 2016-2018, volumes of initial reinsurance changed, respectively, the changes and shares of residents and non-residents in the initial reinsurance were changed. With a decrease in 2018, compared with 2016, reinsurance transactions with non-resident insurers by 24.3%, their share in initial reinsurance decreased by 14.6 gross premiums to 16.7%. Accordingly, the share of residents increased from 68.7% in 2016 to 83.3% in 2018.</w:t>
      </w:r>
    </w:p>
    <w:p w:rsidR="00E23B7C" w:rsidRDefault="00E23B7C" w:rsidP="009A6946">
      <w:pPr>
        <w:widowControl w:val="0"/>
        <w:ind w:firstLine="709"/>
        <w:jc w:val="both"/>
        <w:rPr>
          <w:sz w:val="28"/>
          <w:szCs w:val="28"/>
          <w:lang w:val="en-US"/>
        </w:rPr>
      </w:pPr>
    </w:p>
    <w:p w:rsidR="00E23B7C" w:rsidRDefault="00BC2382" w:rsidP="009A6946">
      <w:pPr>
        <w:widowControl w:val="0"/>
        <w:ind w:firstLine="709"/>
        <w:jc w:val="both"/>
        <w:rPr>
          <w:sz w:val="28"/>
          <w:szCs w:val="28"/>
          <w:lang w:val="en-US"/>
        </w:rPr>
      </w:pPr>
      <w:r>
        <w:rPr>
          <w:sz w:val="28"/>
          <w:szCs w:val="28"/>
          <w:lang w:val="en-US"/>
        </w:rPr>
        <w:t>In figure</w:t>
      </w:r>
      <w:r w:rsidR="00E23B7C" w:rsidRPr="00E23B7C">
        <w:rPr>
          <w:sz w:val="28"/>
          <w:szCs w:val="28"/>
          <w:lang w:val="en-US"/>
        </w:rPr>
        <w:t xml:space="preserve"> </w:t>
      </w:r>
      <w:r w:rsidR="00911B49">
        <w:rPr>
          <w:sz w:val="28"/>
          <w:szCs w:val="28"/>
          <w:lang w:val="uk-UA"/>
        </w:rPr>
        <w:t>2</w:t>
      </w:r>
      <w:bookmarkStart w:id="1" w:name="_GoBack"/>
      <w:bookmarkEnd w:id="1"/>
      <w:r w:rsidR="00E23B7C" w:rsidRPr="00E23B7C">
        <w:rPr>
          <w:sz w:val="28"/>
          <w:szCs w:val="28"/>
          <w:lang w:val="en-US"/>
        </w:rPr>
        <w:t xml:space="preserve"> presents the structure of risk reinsurance from non-residents as of December 31, 2018. The total amount of paid-in shares of insurance premiums for reinsurance to non-residents was highest paid to the UK - 23.7%, Germany - 18.6%, Poland - 12.4%, Switzerland - 10.6%, Austria - 8.5%.The structure of initial reinsurance as of December 31, 2012 compared to the same period in 2017 has changed in favor of such countries as: Germany (from 10.3% to 18.6%), Great Britain (from 15.5% to 23.7%) , Poland (from 9.7% to 12.4%), France (from 2.8% to 5.0%) by reducing the share of insurance payments in Malaysia (6.7% as at 31.12.2017, as at 31.12. 2018 there are no insurance premiums for reinsurance), Switzerland (from 16.9% to 10.6%), China (from 4.3% to 0.8%), Russia (from 5.3% to 2.3%), India (from 3.8% to 1.5%), Singapore (from 2.6% to 0.5%).</w:t>
      </w:r>
    </w:p>
    <w:p w:rsidR="00EA41CA" w:rsidRDefault="00EA41CA" w:rsidP="009A6946">
      <w:pPr>
        <w:widowControl w:val="0"/>
        <w:ind w:firstLine="709"/>
        <w:jc w:val="both"/>
        <w:rPr>
          <w:sz w:val="28"/>
          <w:szCs w:val="28"/>
          <w:lang w:val="en-US"/>
        </w:rPr>
      </w:pPr>
    </w:p>
    <w:p w:rsidR="00132B0E" w:rsidRPr="0072251B" w:rsidRDefault="00EB2FF9" w:rsidP="00CF36BB">
      <w:pPr>
        <w:jc w:val="center"/>
        <w:rPr>
          <w:i/>
          <w:sz w:val="28"/>
          <w:szCs w:val="28"/>
          <w:lang w:val="uk-UA"/>
        </w:rPr>
      </w:pPr>
      <w:r w:rsidRPr="0072251B">
        <w:rPr>
          <w:noProof/>
        </w:rPr>
        <w:lastRenderedPageBreak/>
        <w:drawing>
          <wp:inline distT="0" distB="0" distL="0" distR="0">
            <wp:extent cx="5905500" cy="3419475"/>
            <wp:effectExtent l="19050" t="0" r="19050" b="0"/>
            <wp:docPr id="18" name="Рисунок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2B0E" w:rsidRPr="009042CE" w:rsidRDefault="00164C81" w:rsidP="009042CE">
      <w:pPr>
        <w:ind w:firstLine="709"/>
        <w:rPr>
          <w:sz w:val="28"/>
          <w:szCs w:val="28"/>
          <w:lang w:val="uk-UA"/>
        </w:rPr>
      </w:pPr>
      <w:r>
        <w:rPr>
          <w:sz w:val="28"/>
          <w:szCs w:val="28"/>
          <w:lang w:val="uk-UA"/>
        </w:rPr>
        <w:t xml:space="preserve">Fig. </w:t>
      </w:r>
      <w:r>
        <w:rPr>
          <w:sz w:val="28"/>
          <w:szCs w:val="28"/>
          <w:lang w:val="en-US"/>
        </w:rPr>
        <w:t>2</w:t>
      </w:r>
      <w:r w:rsidR="009042CE" w:rsidRPr="009042CE">
        <w:rPr>
          <w:sz w:val="28"/>
          <w:szCs w:val="28"/>
          <w:lang w:val="uk-UA"/>
        </w:rPr>
        <w:t xml:space="preserve"> The share of insurance payments, which belongs to the non-resident reinsurer, as of December 31, 2012 (UAH million).</w:t>
      </w:r>
    </w:p>
    <w:p w:rsidR="009042CE" w:rsidRDefault="009042CE" w:rsidP="009042CE">
      <w:pPr>
        <w:pStyle w:val="21"/>
        <w:widowControl w:val="0"/>
        <w:spacing w:line="240" w:lineRule="auto"/>
        <w:ind w:left="1080"/>
        <w:jc w:val="both"/>
        <w:rPr>
          <w:sz w:val="28"/>
          <w:szCs w:val="28"/>
          <w:lang w:val="en-US"/>
        </w:rPr>
      </w:pPr>
    </w:p>
    <w:p w:rsidR="009042CE" w:rsidRPr="009042CE" w:rsidRDefault="009042CE" w:rsidP="009042CE">
      <w:pPr>
        <w:pStyle w:val="21"/>
        <w:widowControl w:val="0"/>
        <w:spacing w:line="240" w:lineRule="auto"/>
        <w:ind w:left="1080"/>
        <w:jc w:val="both"/>
        <w:rPr>
          <w:sz w:val="28"/>
          <w:szCs w:val="28"/>
          <w:lang w:val="uk-UA"/>
        </w:rPr>
      </w:pPr>
      <w:r w:rsidRPr="009042CE">
        <w:rPr>
          <w:sz w:val="28"/>
          <w:szCs w:val="28"/>
          <w:lang w:val="uk-UA"/>
        </w:rPr>
        <w:t>The structure of reinsurance of risks from non-residents as of December 31, 2012 is as follows:</w:t>
      </w:r>
    </w:p>
    <w:p w:rsidR="009042CE" w:rsidRPr="009042CE" w:rsidRDefault="009042CE" w:rsidP="009042CE">
      <w:pPr>
        <w:pStyle w:val="21"/>
        <w:widowControl w:val="0"/>
        <w:spacing w:line="240" w:lineRule="auto"/>
        <w:ind w:left="720"/>
        <w:jc w:val="both"/>
        <w:rPr>
          <w:sz w:val="28"/>
          <w:szCs w:val="28"/>
          <w:lang w:val="uk-UA"/>
        </w:rPr>
      </w:pPr>
      <w:r w:rsidRPr="009042CE">
        <w:rPr>
          <w:sz w:val="28"/>
          <w:szCs w:val="28"/>
          <w:lang w:val="uk-UA"/>
        </w:rPr>
        <w:t>- UK, occupies 23.7% of the total amount of reinsurance against15.5% as of December 31, 2017;</w:t>
      </w:r>
    </w:p>
    <w:p w:rsidR="009042CE" w:rsidRPr="009042CE" w:rsidRDefault="009042CE" w:rsidP="009042CE">
      <w:pPr>
        <w:pStyle w:val="21"/>
        <w:widowControl w:val="0"/>
        <w:spacing w:line="240" w:lineRule="auto"/>
        <w:ind w:left="720"/>
        <w:jc w:val="both"/>
        <w:rPr>
          <w:sz w:val="28"/>
          <w:szCs w:val="28"/>
          <w:lang w:val="uk-UA"/>
        </w:rPr>
      </w:pPr>
      <w:r w:rsidRPr="009042CE">
        <w:rPr>
          <w:sz w:val="28"/>
          <w:szCs w:val="28"/>
          <w:lang w:val="uk-UA"/>
        </w:rPr>
        <w:t>- Germany, occupies 18.6% of the total amount of reinsurance against 10.3% as of December 31, 2017;</w:t>
      </w:r>
    </w:p>
    <w:p w:rsidR="009042CE" w:rsidRPr="009042CE" w:rsidRDefault="009042CE" w:rsidP="009042CE">
      <w:pPr>
        <w:pStyle w:val="21"/>
        <w:widowControl w:val="0"/>
        <w:spacing w:line="240" w:lineRule="auto"/>
        <w:ind w:left="720"/>
        <w:jc w:val="both"/>
        <w:rPr>
          <w:sz w:val="28"/>
          <w:szCs w:val="28"/>
          <w:lang w:val="uk-UA"/>
        </w:rPr>
      </w:pPr>
      <w:r w:rsidRPr="009042CE">
        <w:rPr>
          <w:sz w:val="28"/>
          <w:szCs w:val="28"/>
          <w:lang w:val="uk-UA"/>
        </w:rPr>
        <w:t>- Poland, occupies 12.4% in the total amount of reinsurance against 9.7% as of December 31, 2017;</w:t>
      </w:r>
    </w:p>
    <w:p w:rsidR="009042CE" w:rsidRPr="009042CE" w:rsidRDefault="009042CE" w:rsidP="009042CE">
      <w:pPr>
        <w:pStyle w:val="21"/>
        <w:widowControl w:val="0"/>
        <w:spacing w:line="240" w:lineRule="auto"/>
        <w:ind w:left="720"/>
        <w:jc w:val="both"/>
        <w:rPr>
          <w:sz w:val="28"/>
          <w:szCs w:val="28"/>
          <w:lang w:val="uk-UA"/>
        </w:rPr>
      </w:pPr>
      <w:r w:rsidRPr="009042CE">
        <w:rPr>
          <w:sz w:val="28"/>
          <w:szCs w:val="28"/>
          <w:lang w:val="uk-UA"/>
        </w:rPr>
        <w:t>- Switzerland, occupies 10.6% of the total amount of reinsurance against 16.9% as of December 31, 2017;</w:t>
      </w:r>
    </w:p>
    <w:p w:rsidR="009042CE" w:rsidRPr="009042CE" w:rsidRDefault="009042CE" w:rsidP="009042CE">
      <w:pPr>
        <w:pStyle w:val="21"/>
        <w:widowControl w:val="0"/>
        <w:spacing w:line="240" w:lineRule="auto"/>
        <w:ind w:left="720"/>
        <w:jc w:val="both"/>
        <w:rPr>
          <w:sz w:val="28"/>
          <w:szCs w:val="28"/>
          <w:lang w:val="uk-UA"/>
        </w:rPr>
      </w:pPr>
      <w:r>
        <w:rPr>
          <w:sz w:val="28"/>
          <w:szCs w:val="28"/>
          <w:lang w:val="en-US"/>
        </w:rPr>
        <w:t>-</w:t>
      </w:r>
      <w:r w:rsidRPr="009042CE">
        <w:rPr>
          <w:sz w:val="28"/>
          <w:szCs w:val="28"/>
          <w:lang w:val="uk-UA"/>
        </w:rPr>
        <w:t xml:space="preserve"> Austria, occupies 8.5% of the total amount of reinsurance against 7.1% as of December 31, 2017;</w:t>
      </w:r>
    </w:p>
    <w:p w:rsidR="009042CE" w:rsidRPr="009042CE" w:rsidRDefault="009042CE" w:rsidP="009042CE">
      <w:pPr>
        <w:pStyle w:val="21"/>
        <w:widowControl w:val="0"/>
        <w:spacing w:line="240" w:lineRule="auto"/>
        <w:ind w:left="720"/>
        <w:jc w:val="both"/>
        <w:rPr>
          <w:sz w:val="28"/>
          <w:szCs w:val="28"/>
          <w:lang w:val="uk-UA"/>
        </w:rPr>
      </w:pPr>
      <w:r w:rsidRPr="009042CE">
        <w:rPr>
          <w:sz w:val="28"/>
          <w:szCs w:val="28"/>
          <w:lang w:val="uk-UA"/>
        </w:rPr>
        <w:t>- France, occupies 5.0% of the total amount of reinsurance against</w:t>
      </w:r>
      <w:r>
        <w:rPr>
          <w:sz w:val="28"/>
          <w:szCs w:val="28"/>
          <w:lang w:val="en-US"/>
        </w:rPr>
        <w:t xml:space="preserve"> </w:t>
      </w:r>
      <w:r w:rsidRPr="009042CE">
        <w:rPr>
          <w:sz w:val="28"/>
          <w:szCs w:val="28"/>
          <w:lang w:val="uk-UA"/>
        </w:rPr>
        <w:t>2.8% as of December 31, 2017;</w:t>
      </w:r>
    </w:p>
    <w:p w:rsidR="00132B0E" w:rsidRPr="009A6946" w:rsidRDefault="009042CE" w:rsidP="009042CE">
      <w:pPr>
        <w:pStyle w:val="21"/>
        <w:widowControl w:val="0"/>
        <w:spacing w:after="0" w:line="240" w:lineRule="auto"/>
        <w:ind w:left="720"/>
        <w:jc w:val="both"/>
        <w:rPr>
          <w:sz w:val="28"/>
          <w:szCs w:val="28"/>
          <w:lang w:val="uk-UA"/>
        </w:rPr>
      </w:pPr>
      <w:r w:rsidRPr="009042CE">
        <w:rPr>
          <w:sz w:val="28"/>
          <w:szCs w:val="28"/>
          <w:lang w:val="uk-UA"/>
        </w:rPr>
        <w:t>- The United States occupy 4.2% of the total amount of reinsurance against</w:t>
      </w:r>
      <w:r w:rsidR="0087317F">
        <w:rPr>
          <w:sz w:val="28"/>
          <w:szCs w:val="28"/>
          <w:lang w:val="en-US"/>
        </w:rPr>
        <w:t xml:space="preserve"> </w:t>
      </w:r>
      <w:r w:rsidRPr="009042CE">
        <w:rPr>
          <w:sz w:val="28"/>
          <w:szCs w:val="28"/>
          <w:lang w:val="uk-UA"/>
        </w:rPr>
        <w:t>2.9% as of December 31, 2017.</w:t>
      </w:r>
    </w:p>
    <w:sectPr w:rsidR="00132B0E" w:rsidRPr="009A6946" w:rsidSect="00442583">
      <w:headerReference w:type="first" r:id="rId10"/>
      <w:pgSz w:w="11906" w:h="16838"/>
      <w:pgMar w:top="1021" w:right="851"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DC" w:rsidRDefault="00040DDC">
      <w:r>
        <w:separator/>
      </w:r>
    </w:p>
  </w:endnote>
  <w:endnote w:type="continuationSeparator" w:id="0">
    <w:p w:rsidR="00040DDC" w:rsidRDefault="0004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DC" w:rsidRDefault="00040DDC">
      <w:r>
        <w:separator/>
      </w:r>
    </w:p>
  </w:footnote>
  <w:footnote w:type="continuationSeparator" w:id="0">
    <w:p w:rsidR="00040DDC" w:rsidRDefault="00040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F2" w:rsidRPr="0095526E" w:rsidRDefault="00F700F2" w:rsidP="006B6D8E">
    <w:pPr>
      <w:pStyle w:val="af2"/>
      <w:framePr w:wrap="around" w:vAnchor="text" w:hAnchor="margin" w:xAlign="center" w:y="1"/>
      <w:rPr>
        <w:rStyle w:val="ac"/>
        <w:lang w:val="en-US"/>
      </w:rPr>
    </w:pPr>
    <w:r>
      <w:rPr>
        <w:rStyle w:val="ac"/>
      </w:rPr>
      <w:fldChar w:fldCharType="begin"/>
    </w:r>
    <w:r>
      <w:rPr>
        <w:rStyle w:val="ac"/>
      </w:rPr>
      <w:instrText xml:space="preserve">PAGE  </w:instrText>
    </w:r>
    <w:r>
      <w:rPr>
        <w:rStyle w:val="ac"/>
      </w:rPr>
      <w:fldChar w:fldCharType="separate"/>
    </w:r>
    <w:r w:rsidR="007A5896">
      <w:rPr>
        <w:rStyle w:val="ac"/>
        <w:noProof/>
      </w:rPr>
      <w:t>1</w:t>
    </w:r>
    <w:r>
      <w:rPr>
        <w:rStyle w:val="ac"/>
      </w:rPr>
      <w:fldChar w:fldCharType="end"/>
    </w:r>
  </w:p>
  <w:p w:rsidR="00F700F2" w:rsidRPr="0095526E" w:rsidRDefault="00F700F2" w:rsidP="006B6D8E">
    <w:pPr>
      <w:pStyle w:val="af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BBA05"/>
    <w:multiLevelType w:val="hybridMultilevel"/>
    <w:tmpl w:val="535AA3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F178FCF"/>
    <w:multiLevelType w:val="hybridMultilevel"/>
    <w:tmpl w:val="D25C06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DE43891"/>
    <w:multiLevelType w:val="hybridMultilevel"/>
    <w:tmpl w:val="D76057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FE"/>
    <w:multiLevelType w:val="singleLevel"/>
    <w:tmpl w:val="CD3C000A"/>
    <w:lvl w:ilvl="0">
      <w:numFmt w:val="bullet"/>
      <w:lvlText w:val="*"/>
      <w:lvlJc w:val="left"/>
    </w:lvl>
  </w:abstractNum>
  <w:abstractNum w:abstractNumId="4">
    <w:nsid w:val="029F2D60"/>
    <w:multiLevelType w:val="hybridMultilevel"/>
    <w:tmpl w:val="0366A77C"/>
    <w:lvl w:ilvl="0" w:tplc="0394B8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B51D80"/>
    <w:multiLevelType w:val="hybridMultilevel"/>
    <w:tmpl w:val="C19E40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A6E4690"/>
    <w:multiLevelType w:val="hybridMultilevel"/>
    <w:tmpl w:val="B88C6CAC"/>
    <w:lvl w:ilvl="0" w:tplc="A000B88A">
      <w:start w:val="1"/>
      <w:numFmt w:val="bullet"/>
      <w:lvlText w:val=""/>
      <w:lvlJc w:val="left"/>
      <w:pPr>
        <w:tabs>
          <w:tab w:val="num" w:pos="720"/>
        </w:tabs>
        <w:ind w:left="720" w:hanging="360"/>
      </w:pPr>
      <w:rPr>
        <w:rFonts w:ascii="Wingdings" w:hAnsi="Wingdings" w:hint="default"/>
      </w:rPr>
    </w:lvl>
    <w:lvl w:ilvl="1" w:tplc="27843ECE" w:tentative="1">
      <w:start w:val="1"/>
      <w:numFmt w:val="bullet"/>
      <w:lvlText w:val=""/>
      <w:lvlJc w:val="left"/>
      <w:pPr>
        <w:tabs>
          <w:tab w:val="num" w:pos="1440"/>
        </w:tabs>
        <w:ind w:left="1440" w:hanging="360"/>
      </w:pPr>
      <w:rPr>
        <w:rFonts w:ascii="Wingdings" w:hAnsi="Wingdings" w:hint="default"/>
      </w:rPr>
    </w:lvl>
    <w:lvl w:ilvl="2" w:tplc="C1BE148A" w:tentative="1">
      <w:start w:val="1"/>
      <w:numFmt w:val="bullet"/>
      <w:lvlText w:val=""/>
      <w:lvlJc w:val="left"/>
      <w:pPr>
        <w:tabs>
          <w:tab w:val="num" w:pos="2160"/>
        </w:tabs>
        <w:ind w:left="2160" w:hanging="360"/>
      </w:pPr>
      <w:rPr>
        <w:rFonts w:ascii="Wingdings" w:hAnsi="Wingdings" w:hint="default"/>
      </w:rPr>
    </w:lvl>
    <w:lvl w:ilvl="3" w:tplc="4BEABAA0" w:tentative="1">
      <w:start w:val="1"/>
      <w:numFmt w:val="bullet"/>
      <w:lvlText w:val=""/>
      <w:lvlJc w:val="left"/>
      <w:pPr>
        <w:tabs>
          <w:tab w:val="num" w:pos="2880"/>
        </w:tabs>
        <w:ind w:left="2880" w:hanging="360"/>
      </w:pPr>
      <w:rPr>
        <w:rFonts w:ascii="Wingdings" w:hAnsi="Wingdings" w:hint="default"/>
      </w:rPr>
    </w:lvl>
    <w:lvl w:ilvl="4" w:tplc="139CA566" w:tentative="1">
      <w:start w:val="1"/>
      <w:numFmt w:val="bullet"/>
      <w:lvlText w:val=""/>
      <w:lvlJc w:val="left"/>
      <w:pPr>
        <w:tabs>
          <w:tab w:val="num" w:pos="3600"/>
        </w:tabs>
        <w:ind w:left="3600" w:hanging="360"/>
      </w:pPr>
      <w:rPr>
        <w:rFonts w:ascii="Wingdings" w:hAnsi="Wingdings" w:hint="default"/>
      </w:rPr>
    </w:lvl>
    <w:lvl w:ilvl="5" w:tplc="BF08293C" w:tentative="1">
      <w:start w:val="1"/>
      <w:numFmt w:val="bullet"/>
      <w:lvlText w:val=""/>
      <w:lvlJc w:val="left"/>
      <w:pPr>
        <w:tabs>
          <w:tab w:val="num" w:pos="4320"/>
        </w:tabs>
        <w:ind w:left="4320" w:hanging="360"/>
      </w:pPr>
      <w:rPr>
        <w:rFonts w:ascii="Wingdings" w:hAnsi="Wingdings" w:hint="default"/>
      </w:rPr>
    </w:lvl>
    <w:lvl w:ilvl="6" w:tplc="483A3ED0" w:tentative="1">
      <w:start w:val="1"/>
      <w:numFmt w:val="bullet"/>
      <w:lvlText w:val=""/>
      <w:lvlJc w:val="left"/>
      <w:pPr>
        <w:tabs>
          <w:tab w:val="num" w:pos="5040"/>
        </w:tabs>
        <w:ind w:left="5040" w:hanging="360"/>
      </w:pPr>
      <w:rPr>
        <w:rFonts w:ascii="Wingdings" w:hAnsi="Wingdings" w:hint="default"/>
      </w:rPr>
    </w:lvl>
    <w:lvl w:ilvl="7" w:tplc="316C7BEA" w:tentative="1">
      <w:start w:val="1"/>
      <w:numFmt w:val="bullet"/>
      <w:lvlText w:val=""/>
      <w:lvlJc w:val="left"/>
      <w:pPr>
        <w:tabs>
          <w:tab w:val="num" w:pos="5760"/>
        </w:tabs>
        <w:ind w:left="5760" w:hanging="360"/>
      </w:pPr>
      <w:rPr>
        <w:rFonts w:ascii="Wingdings" w:hAnsi="Wingdings" w:hint="default"/>
      </w:rPr>
    </w:lvl>
    <w:lvl w:ilvl="8" w:tplc="4968AC2E" w:tentative="1">
      <w:start w:val="1"/>
      <w:numFmt w:val="bullet"/>
      <w:lvlText w:val=""/>
      <w:lvlJc w:val="left"/>
      <w:pPr>
        <w:tabs>
          <w:tab w:val="num" w:pos="6480"/>
        </w:tabs>
        <w:ind w:left="6480" w:hanging="360"/>
      </w:pPr>
      <w:rPr>
        <w:rFonts w:ascii="Wingdings" w:hAnsi="Wingdings" w:hint="default"/>
      </w:rPr>
    </w:lvl>
  </w:abstractNum>
  <w:abstractNum w:abstractNumId="7">
    <w:nsid w:val="0CFA7452"/>
    <w:multiLevelType w:val="hybridMultilevel"/>
    <w:tmpl w:val="90F8FD60"/>
    <w:lvl w:ilvl="0" w:tplc="E0BA0568">
      <w:start w:val="1"/>
      <w:numFmt w:val="bullet"/>
      <w:lvlText w:val="•"/>
      <w:lvlJc w:val="left"/>
      <w:pPr>
        <w:tabs>
          <w:tab w:val="num" w:pos="720"/>
        </w:tabs>
        <w:ind w:left="720" w:hanging="360"/>
      </w:pPr>
      <w:rPr>
        <w:rFonts w:ascii="Times New Roman" w:hAnsi="Times New Roman" w:hint="default"/>
      </w:rPr>
    </w:lvl>
    <w:lvl w:ilvl="1" w:tplc="CD805CC4" w:tentative="1">
      <w:start w:val="1"/>
      <w:numFmt w:val="bullet"/>
      <w:lvlText w:val="•"/>
      <w:lvlJc w:val="left"/>
      <w:pPr>
        <w:tabs>
          <w:tab w:val="num" w:pos="1440"/>
        </w:tabs>
        <w:ind w:left="1440" w:hanging="360"/>
      </w:pPr>
      <w:rPr>
        <w:rFonts w:ascii="Times New Roman" w:hAnsi="Times New Roman" w:hint="default"/>
      </w:rPr>
    </w:lvl>
    <w:lvl w:ilvl="2" w:tplc="1EB8B9B4" w:tentative="1">
      <w:start w:val="1"/>
      <w:numFmt w:val="bullet"/>
      <w:lvlText w:val="•"/>
      <w:lvlJc w:val="left"/>
      <w:pPr>
        <w:tabs>
          <w:tab w:val="num" w:pos="2160"/>
        </w:tabs>
        <w:ind w:left="2160" w:hanging="360"/>
      </w:pPr>
      <w:rPr>
        <w:rFonts w:ascii="Times New Roman" w:hAnsi="Times New Roman" w:hint="default"/>
      </w:rPr>
    </w:lvl>
    <w:lvl w:ilvl="3" w:tplc="A77E2F0C" w:tentative="1">
      <w:start w:val="1"/>
      <w:numFmt w:val="bullet"/>
      <w:lvlText w:val="•"/>
      <w:lvlJc w:val="left"/>
      <w:pPr>
        <w:tabs>
          <w:tab w:val="num" w:pos="2880"/>
        </w:tabs>
        <w:ind w:left="2880" w:hanging="360"/>
      </w:pPr>
      <w:rPr>
        <w:rFonts w:ascii="Times New Roman" w:hAnsi="Times New Roman" w:hint="default"/>
      </w:rPr>
    </w:lvl>
    <w:lvl w:ilvl="4" w:tplc="48C0768A" w:tentative="1">
      <w:start w:val="1"/>
      <w:numFmt w:val="bullet"/>
      <w:lvlText w:val="•"/>
      <w:lvlJc w:val="left"/>
      <w:pPr>
        <w:tabs>
          <w:tab w:val="num" w:pos="3600"/>
        </w:tabs>
        <w:ind w:left="3600" w:hanging="360"/>
      </w:pPr>
      <w:rPr>
        <w:rFonts w:ascii="Times New Roman" w:hAnsi="Times New Roman" w:hint="default"/>
      </w:rPr>
    </w:lvl>
    <w:lvl w:ilvl="5" w:tplc="0C881A68" w:tentative="1">
      <w:start w:val="1"/>
      <w:numFmt w:val="bullet"/>
      <w:lvlText w:val="•"/>
      <w:lvlJc w:val="left"/>
      <w:pPr>
        <w:tabs>
          <w:tab w:val="num" w:pos="4320"/>
        </w:tabs>
        <w:ind w:left="4320" w:hanging="360"/>
      </w:pPr>
      <w:rPr>
        <w:rFonts w:ascii="Times New Roman" w:hAnsi="Times New Roman" w:hint="default"/>
      </w:rPr>
    </w:lvl>
    <w:lvl w:ilvl="6" w:tplc="6F8A851A" w:tentative="1">
      <w:start w:val="1"/>
      <w:numFmt w:val="bullet"/>
      <w:lvlText w:val="•"/>
      <w:lvlJc w:val="left"/>
      <w:pPr>
        <w:tabs>
          <w:tab w:val="num" w:pos="5040"/>
        </w:tabs>
        <w:ind w:left="5040" w:hanging="360"/>
      </w:pPr>
      <w:rPr>
        <w:rFonts w:ascii="Times New Roman" w:hAnsi="Times New Roman" w:hint="default"/>
      </w:rPr>
    </w:lvl>
    <w:lvl w:ilvl="7" w:tplc="D108BE1C" w:tentative="1">
      <w:start w:val="1"/>
      <w:numFmt w:val="bullet"/>
      <w:lvlText w:val="•"/>
      <w:lvlJc w:val="left"/>
      <w:pPr>
        <w:tabs>
          <w:tab w:val="num" w:pos="5760"/>
        </w:tabs>
        <w:ind w:left="5760" w:hanging="360"/>
      </w:pPr>
      <w:rPr>
        <w:rFonts w:ascii="Times New Roman" w:hAnsi="Times New Roman" w:hint="default"/>
      </w:rPr>
    </w:lvl>
    <w:lvl w:ilvl="8" w:tplc="C60C63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7769B3"/>
    <w:multiLevelType w:val="hybridMultilevel"/>
    <w:tmpl w:val="7EC0F6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23651BF"/>
    <w:multiLevelType w:val="hybridMultilevel"/>
    <w:tmpl w:val="90569CB4"/>
    <w:lvl w:ilvl="0" w:tplc="25BAD35C">
      <w:start w:val="1"/>
      <w:numFmt w:val="bullet"/>
      <w:lvlText w:val="•"/>
      <w:lvlJc w:val="left"/>
      <w:pPr>
        <w:tabs>
          <w:tab w:val="num" w:pos="720"/>
        </w:tabs>
        <w:ind w:left="720" w:hanging="360"/>
      </w:pPr>
      <w:rPr>
        <w:rFonts w:ascii="Times New Roman" w:hAnsi="Times New Roman" w:hint="default"/>
      </w:rPr>
    </w:lvl>
    <w:lvl w:ilvl="1" w:tplc="E820AAEC" w:tentative="1">
      <w:start w:val="1"/>
      <w:numFmt w:val="bullet"/>
      <w:lvlText w:val="•"/>
      <w:lvlJc w:val="left"/>
      <w:pPr>
        <w:tabs>
          <w:tab w:val="num" w:pos="1440"/>
        </w:tabs>
        <w:ind w:left="1440" w:hanging="360"/>
      </w:pPr>
      <w:rPr>
        <w:rFonts w:ascii="Times New Roman" w:hAnsi="Times New Roman" w:hint="default"/>
      </w:rPr>
    </w:lvl>
    <w:lvl w:ilvl="2" w:tplc="BED46C04" w:tentative="1">
      <w:start w:val="1"/>
      <w:numFmt w:val="bullet"/>
      <w:lvlText w:val="•"/>
      <w:lvlJc w:val="left"/>
      <w:pPr>
        <w:tabs>
          <w:tab w:val="num" w:pos="2160"/>
        </w:tabs>
        <w:ind w:left="2160" w:hanging="360"/>
      </w:pPr>
      <w:rPr>
        <w:rFonts w:ascii="Times New Roman" w:hAnsi="Times New Roman" w:hint="default"/>
      </w:rPr>
    </w:lvl>
    <w:lvl w:ilvl="3" w:tplc="6FD24960" w:tentative="1">
      <w:start w:val="1"/>
      <w:numFmt w:val="bullet"/>
      <w:lvlText w:val="•"/>
      <w:lvlJc w:val="left"/>
      <w:pPr>
        <w:tabs>
          <w:tab w:val="num" w:pos="2880"/>
        </w:tabs>
        <w:ind w:left="2880" w:hanging="360"/>
      </w:pPr>
      <w:rPr>
        <w:rFonts w:ascii="Times New Roman" w:hAnsi="Times New Roman" w:hint="default"/>
      </w:rPr>
    </w:lvl>
    <w:lvl w:ilvl="4" w:tplc="700844D2" w:tentative="1">
      <w:start w:val="1"/>
      <w:numFmt w:val="bullet"/>
      <w:lvlText w:val="•"/>
      <w:lvlJc w:val="left"/>
      <w:pPr>
        <w:tabs>
          <w:tab w:val="num" w:pos="3600"/>
        </w:tabs>
        <w:ind w:left="3600" w:hanging="360"/>
      </w:pPr>
      <w:rPr>
        <w:rFonts w:ascii="Times New Roman" w:hAnsi="Times New Roman" w:hint="default"/>
      </w:rPr>
    </w:lvl>
    <w:lvl w:ilvl="5" w:tplc="9BCEA26C" w:tentative="1">
      <w:start w:val="1"/>
      <w:numFmt w:val="bullet"/>
      <w:lvlText w:val="•"/>
      <w:lvlJc w:val="left"/>
      <w:pPr>
        <w:tabs>
          <w:tab w:val="num" w:pos="4320"/>
        </w:tabs>
        <w:ind w:left="4320" w:hanging="360"/>
      </w:pPr>
      <w:rPr>
        <w:rFonts w:ascii="Times New Roman" w:hAnsi="Times New Roman" w:hint="default"/>
      </w:rPr>
    </w:lvl>
    <w:lvl w:ilvl="6" w:tplc="81E49C4A" w:tentative="1">
      <w:start w:val="1"/>
      <w:numFmt w:val="bullet"/>
      <w:lvlText w:val="•"/>
      <w:lvlJc w:val="left"/>
      <w:pPr>
        <w:tabs>
          <w:tab w:val="num" w:pos="5040"/>
        </w:tabs>
        <w:ind w:left="5040" w:hanging="360"/>
      </w:pPr>
      <w:rPr>
        <w:rFonts w:ascii="Times New Roman" w:hAnsi="Times New Roman" w:hint="default"/>
      </w:rPr>
    </w:lvl>
    <w:lvl w:ilvl="7" w:tplc="6AFCBD00" w:tentative="1">
      <w:start w:val="1"/>
      <w:numFmt w:val="bullet"/>
      <w:lvlText w:val="•"/>
      <w:lvlJc w:val="left"/>
      <w:pPr>
        <w:tabs>
          <w:tab w:val="num" w:pos="5760"/>
        </w:tabs>
        <w:ind w:left="5760" w:hanging="360"/>
      </w:pPr>
      <w:rPr>
        <w:rFonts w:ascii="Times New Roman" w:hAnsi="Times New Roman" w:hint="default"/>
      </w:rPr>
    </w:lvl>
    <w:lvl w:ilvl="8" w:tplc="259C173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A03FC4"/>
    <w:multiLevelType w:val="hybridMultilevel"/>
    <w:tmpl w:val="E3A84320"/>
    <w:lvl w:ilvl="0" w:tplc="A9F0D630">
      <w:start w:val="1"/>
      <w:numFmt w:val="bullet"/>
      <w:lvlText w:val="•"/>
      <w:lvlJc w:val="left"/>
      <w:pPr>
        <w:tabs>
          <w:tab w:val="num" w:pos="720"/>
        </w:tabs>
        <w:ind w:left="720" w:hanging="360"/>
      </w:pPr>
      <w:rPr>
        <w:rFonts w:ascii="Times New Roman" w:hAnsi="Times New Roman" w:hint="default"/>
      </w:rPr>
    </w:lvl>
    <w:lvl w:ilvl="1" w:tplc="A15CCF26" w:tentative="1">
      <w:start w:val="1"/>
      <w:numFmt w:val="bullet"/>
      <w:lvlText w:val="•"/>
      <w:lvlJc w:val="left"/>
      <w:pPr>
        <w:tabs>
          <w:tab w:val="num" w:pos="1440"/>
        </w:tabs>
        <w:ind w:left="1440" w:hanging="360"/>
      </w:pPr>
      <w:rPr>
        <w:rFonts w:ascii="Times New Roman" w:hAnsi="Times New Roman" w:hint="default"/>
      </w:rPr>
    </w:lvl>
    <w:lvl w:ilvl="2" w:tplc="8A7EAB1E" w:tentative="1">
      <w:start w:val="1"/>
      <w:numFmt w:val="bullet"/>
      <w:lvlText w:val="•"/>
      <w:lvlJc w:val="left"/>
      <w:pPr>
        <w:tabs>
          <w:tab w:val="num" w:pos="2160"/>
        </w:tabs>
        <w:ind w:left="2160" w:hanging="360"/>
      </w:pPr>
      <w:rPr>
        <w:rFonts w:ascii="Times New Roman" w:hAnsi="Times New Roman" w:hint="default"/>
      </w:rPr>
    </w:lvl>
    <w:lvl w:ilvl="3" w:tplc="1152BACC" w:tentative="1">
      <w:start w:val="1"/>
      <w:numFmt w:val="bullet"/>
      <w:lvlText w:val="•"/>
      <w:lvlJc w:val="left"/>
      <w:pPr>
        <w:tabs>
          <w:tab w:val="num" w:pos="2880"/>
        </w:tabs>
        <w:ind w:left="2880" w:hanging="360"/>
      </w:pPr>
      <w:rPr>
        <w:rFonts w:ascii="Times New Roman" w:hAnsi="Times New Roman" w:hint="default"/>
      </w:rPr>
    </w:lvl>
    <w:lvl w:ilvl="4" w:tplc="9A7AB51C" w:tentative="1">
      <w:start w:val="1"/>
      <w:numFmt w:val="bullet"/>
      <w:lvlText w:val="•"/>
      <w:lvlJc w:val="left"/>
      <w:pPr>
        <w:tabs>
          <w:tab w:val="num" w:pos="3600"/>
        </w:tabs>
        <w:ind w:left="3600" w:hanging="360"/>
      </w:pPr>
      <w:rPr>
        <w:rFonts w:ascii="Times New Roman" w:hAnsi="Times New Roman" w:hint="default"/>
      </w:rPr>
    </w:lvl>
    <w:lvl w:ilvl="5" w:tplc="A83EFFF8" w:tentative="1">
      <w:start w:val="1"/>
      <w:numFmt w:val="bullet"/>
      <w:lvlText w:val="•"/>
      <w:lvlJc w:val="left"/>
      <w:pPr>
        <w:tabs>
          <w:tab w:val="num" w:pos="4320"/>
        </w:tabs>
        <w:ind w:left="4320" w:hanging="360"/>
      </w:pPr>
      <w:rPr>
        <w:rFonts w:ascii="Times New Roman" w:hAnsi="Times New Roman" w:hint="default"/>
      </w:rPr>
    </w:lvl>
    <w:lvl w:ilvl="6" w:tplc="70AE6086" w:tentative="1">
      <w:start w:val="1"/>
      <w:numFmt w:val="bullet"/>
      <w:lvlText w:val="•"/>
      <w:lvlJc w:val="left"/>
      <w:pPr>
        <w:tabs>
          <w:tab w:val="num" w:pos="5040"/>
        </w:tabs>
        <w:ind w:left="5040" w:hanging="360"/>
      </w:pPr>
      <w:rPr>
        <w:rFonts w:ascii="Times New Roman" w:hAnsi="Times New Roman" w:hint="default"/>
      </w:rPr>
    </w:lvl>
    <w:lvl w:ilvl="7" w:tplc="8FE84A80" w:tentative="1">
      <w:start w:val="1"/>
      <w:numFmt w:val="bullet"/>
      <w:lvlText w:val="•"/>
      <w:lvlJc w:val="left"/>
      <w:pPr>
        <w:tabs>
          <w:tab w:val="num" w:pos="5760"/>
        </w:tabs>
        <w:ind w:left="5760" w:hanging="360"/>
      </w:pPr>
      <w:rPr>
        <w:rFonts w:ascii="Times New Roman" w:hAnsi="Times New Roman" w:hint="default"/>
      </w:rPr>
    </w:lvl>
    <w:lvl w:ilvl="8" w:tplc="888E1E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CAE0E0"/>
    <w:multiLevelType w:val="hybridMultilevel"/>
    <w:tmpl w:val="C4F268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C1B5E4B"/>
    <w:multiLevelType w:val="hybridMultilevel"/>
    <w:tmpl w:val="ADF8A240"/>
    <w:lvl w:ilvl="0" w:tplc="51BAB97E">
      <w:start w:val="3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EA4C40F"/>
    <w:multiLevelType w:val="hybridMultilevel"/>
    <w:tmpl w:val="645A8F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EE318EA"/>
    <w:multiLevelType w:val="hybridMultilevel"/>
    <w:tmpl w:val="71F68DCC"/>
    <w:lvl w:ilvl="0" w:tplc="826CF1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31D576F"/>
    <w:multiLevelType w:val="hybridMultilevel"/>
    <w:tmpl w:val="84EA98E8"/>
    <w:lvl w:ilvl="0" w:tplc="F3440434">
      <w:numFmt w:val="bullet"/>
      <w:lvlText w:val="-"/>
      <w:lvlJc w:val="left"/>
      <w:pPr>
        <w:ind w:left="378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6">
    <w:nsid w:val="25375F65"/>
    <w:multiLevelType w:val="hybridMultilevel"/>
    <w:tmpl w:val="F8D2199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5666845"/>
    <w:multiLevelType w:val="hybridMultilevel"/>
    <w:tmpl w:val="F168C74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8">
    <w:nsid w:val="2606668D"/>
    <w:multiLevelType w:val="hybridMultilevel"/>
    <w:tmpl w:val="0F7693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EF94E5D"/>
    <w:multiLevelType w:val="hybridMultilevel"/>
    <w:tmpl w:val="C77EA788"/>
    <w:lvl w:ilvl="0" w:tplc="04220001">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F5874D2"/>
    <w:multiLevelType w:val="multilevel"/>
    <w:tmpl w:val="ED428584"/>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31332B97"/>
    <w:multiLevelType w:val="hybridMultilevel"/>
    <w:tmpl w:val="DDD4CD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2CA25AD"/>
    <w:multiLevelType w:val="hybridMultilevel"/>
    <w:tmpl w:val="2B166ED8"/>
    <w:lvl w:ilvl="0" w:tplc="5A54DF8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32CD2B40"/>
    <w:multiLevelType w:val="hybridMultilevel"/>
    <w:tmpl w:val="084A686A"/>
    <w:lvl w:ilvl="0" w:tplc="6E12478A">
      <w:numFmt w:val="bullet"/>
      <w:lvlText w:val="–"/>
      <w:lvlJc w:val="left"/>
      <w:pPr>
        <w:tabs>
          <w:tab w:val="num" w:pos="1743"/>
        </w:tabs>
        <w:ind w:left="1743" w:hanging="103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376C6D08"/>
    <w:multiLevelType w:val="hybridMultilevel"/>
    <w:tmpl w:val="A218218E"/>
    <w:lvl w:ilvl="0" w:tplc="407C3CDE">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3B60243F"/>
    <w:multiLevelType w:val="hybridMultilevel"/>
    <w:tmpl w:val="A0F680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D24943"/>
    <w:multiLevelType w:val="hybridMultilevel"/>
    <w:tmpl w:val="909065C8"/>
    <w:lvl w:ilvl="0" w:tplc="D7FA261E">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43037D74"/>
    <w:multiLevelType w:val="hybridMultilevel"/>
    <w:tmpl w:val="24924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264845"/>
    <w:multiLevelType w:val="multilevel"/>
    <w:tmpl w:val="DDD4CD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4F24780"/>
    <w:multiLevelType w:val="hybridMultilevel"/>
    <w:tmpl w:val="61A2F7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737FA05"/>
    <w:multiLevelType w:val="hybridMultilevel"/>
    <w:tmpl w:val="5BF204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A1974CD"/>
    <w:multiLevelType w:val="hybridMultilevel"/>
    <w:tmpl w:val="3E0E0A9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4BD85E00"/>
    <w:multiLevelType w:val="multilevel"/>
    <w:tmpl w:val="0BB206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CD952FA"/>
    <w:multiLevelType w:val="hybridMultilevel"/>
    <w:tmpl w:val="ED428584"/>
    <w:lvl w:ilvl="0" w:tplc="04190003">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38427DF"/>
    <w:multiLevelType w:val="hybridMultilevel"/>
    <w:tmpl w:val="94ECB87C"/>
    <w:lvl w:ilvl="0" w:tplc="0DF2536A">
      <w:start w:val="1"/>
      <w:numFmt w:val="bullet"/>
      <w:lvlText w:val=""/>
      <w:lvlJc w:val="left"/>
      <w:pPr>
        <w:tabs>
          <w:tab w:val="num" w:pos="720"/>
        </w:tabs>
        <w:ind w:left="720" w:hanging="360"/>
      </w:pPr>
      <w:rPr>
        <w:rFonts w:ascii="Wingdings" w:hAnsi="Wingdings" w:hint="default"/>
      </w:rPr>
    </w:lvl>
    <w:lvl w:ilvl="1" w:tplc="71B48BC4" w:tentative="1">
      <w:start w:val="1"/>
      <w:numFmt w:val="bullet"/>
      <w:lvlText w:val=""/>
      <w:lvlJc w:val="left"/>
      <w:pPr>
        <w:tabs>
          <w:tab w:val="num" w:pos="1440"/>
        </w:tabs>
        <w:ind w:left="1440" w:hanging="360"/>
      </w:pPr>
      <w:rPr>
        <w:rFonts w:ascii="Wingdings" w:hAnsi="Wingdings" w:hint="default"/>
      </w:rPr>
    </w:lvl>
    <w:lvl w:ilvl="2" w:tplc="44109232" w:tentative="1">
      <w:start w:val="1"/>
      <w:numFmt w:val="bullet"/>
      <w:lvlText w:val=""/>
      <w:lvlJc w:val="left"/>
      <w:pPr>
        <w:tabs>
          <w:tab w:val="num" w:pos="2160"/>
        </w:tabs>
        <w:ind w:left="2160" w:hanging="360"/>
      </w:pPr>
      <w:rPr>
        <w:rFonts w:ascii="Wingdings" w:hAnsi="Wingdings" w:hint="default"/>
      </w:rPr>
    </w:lvl>
    <w:lvl w:ilvl="3" w:tplc="F6D4DF10" w:tentative="1">
      <w:start w:val="1"/>
      <w:numFmt w:val="bullet"/>
      <w:lvlText w:val=""/>
      <w:lvlJc w:val="left"/>
      <w:pPr>
        <w:tabs>
          <w:tab w:val="num" w:pos="2880"/>
        </w:tabs>
        <w:ind w:left="2880" w:hanging="360"/>
      </w:pPr>
      <w:rPr>
        <w:rFonts w:ascii="Wingdings" w:hAnsi="Wingdings" w:hint="default"/>
      </w:rPr>
    </w:lvl>
    <w:lvl w:ilvl="4" w:tplc="2696C170" w:tentative="1">
      <w:start w:val="1"/>
      <w:numFmt w:val="bullet"/>
      <w:lvlText w:val=""/>
      <w:lvlJc w:val="left"/>
      <w:pPr>
        <w:tabs>
          <w:tab w:val="num" w:pos="3600"/>
        </w:tabs>
        <w:ind w:left="3600" w:hanging="360"/>
      </w:pPr>
      <w:rPr>
        <w:rFonts w:ascii="Wingdings" w:hAnsi="Wingdings" w:hint="default"/>
      </w:rPr>
    </w:lvl>
    <w:lvl w:ilvl="5" w:tplc="8CECB8DC" w:tentative="1">
      <w:start w:val="1"/>
      <w:numFmt w:val="bullet"/>
      <w:lvlText w:val=""/>
      <w:lvlJc w:val="left"/>
      <w:pPr>
        <w:tabs>
          <w:tab w:val="num" w:pos="4320"/>
        </w:tabs>
        <w:ind w:left="4320" w:hanging="360"/>
      </w:pPr>
      <w:rPr>
        <w:rFonts w:ascii="Wingdings" w:hAnsi="Wingdings" w:hint="default"/>
      </w:rPr>
    </w:lvl>
    <w:lvl w:ilvl="6" w:tplc="4F70CB56" w:tentative="1">
      <w:start w:val="1"/>
      <w:numFmt w:val="bullet"/>
      <w:lvlText w:val=""/>
      <w:lvlJc w:val="left"/>
      <w:pPr>
        <w:tabs>
          <w:tab w:val="num" w:pos="5040"/>
        </w:tabs>
        <w:ind w:left="5040" w:hanging="360"/>
      </w:pPr>
      <w:rPr>
        <w:rFonts w:ascii="Wingdings" w:hAnsi="Wingdings" w:hint="default"/>
      </w:rPr>
    </w:lvl>
    <w:lvl w:ilvl="7" w:tplc="5D749054" w:tentative="1">
      <w:start w:val="1"/>
      <w:numFmt w:val="bullet"/>
      <w:lvlText w:val=""/>
      <w:lvlJc w:val="left"/>
      <w:pPr>
        <w:tabs>
          <w:tab w:val="num" w:pos="5760"/>
        </w:tabs>
        <w:ind w:left="5760" w:hanging="360"/>
      </w:pPr>
      <w:rPr>
        <w:rFonts w:ascii="Wingdings" w:hAnsi="Wingdings" w:hint="default"/>
      </w:rPr>
    </w:lvl>
    <w:lvl w:ilvl="8" w:tplc="500C42F4" w:tentative="1">
      <w:start w:val="1"/>
      <w:numFmt w:val="bullet"/>
      <w:lvlText w:val=""/>
      <w:lvlJc w:val="left"/>
      <w:pPr>
        <w:tabs>
          <w:tab w:val="num" w:pos="6480"/>
        </w:tabs>
        <w:ind w:left="6480" w:hanging="360"/>
      </w:pPr>
      <w:rPr>
        <w:rFonts w:ascii="Wingdings" w:hAnsi="Wingdings" w:hint="default"/>
      </w:rPr>
    </w:lvl>
  </w:abstractNum>
  <w:abstractNum w:abstractNumId="35">
    <w:nsid w:val="56153A60"/>
    <w:multiLevelType w:val="hybridMultilevel"/>
    <w:tmpl w:val="80AE2B1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AD912C8"/>
    <w:multiLevelType w:val="hybridMultilevel"/>
    <w:tmpl w:val="0BB20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AB6338"/>
    <w:multiLevelType w:val="hybridMultilevel"/>
    <w:tmpl w:val="5EB84A36"/>
    <w:lvl w:ilvl="0" w:tplc="266ECE1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nsid w:val="66396399"/>
    <w:multiLevelType w:val="hybridMultilevel"/>
    <w:tmpl w:val="014C268C"/>
    <w:lvl w:ilvl="0" w:tplc="07EC4FE8">
      <w:start w:val="17"/>
      <w:numFmt w:val="bullet"/>
      <w:lvlText w:val=""/>
      <w:lvlJc w:val="left"/>
      <w:pPr>
        <w:tabs>
          <w:tab w:val="num" w:pos="372"/>
        </w:tabs>
        <w:ind w:left="372" w:hanging="360"/>
      </w:pPr>
      <w:rPr>
        <w:rFonts w:ascii="Symbol" w:eastAsia="Times New Roman" w:hAnsi="Symbol"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9">
    <w:nsid w:val="666E5065"/>
    <w:multiLevelType w:val="hybridMultilevel"/>
    <w:tmpl w:val="DD989A72"/>
    <w:lvl w:ilvl="0" w:tplc="EFAAE718">
      <w:start w:val="2"/>
      <w:numFmt w:val="bullet"/>
      <w:lvlText w:val="–"/>
      <w:lvlJc w:val="left"/>
      <w:pPr>
        <w:tabs>
          <w:tab w:val="num" w:pos="6518"/>
        </w:tabs>
        <w:ind w:left="6518" w:hanging="70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AA46F8"/>
    <w:multiLevelType w:val="multilevel"/>
    <w:tmpl w:val="A0F680C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68793C4C"/>
    <w:multiLevelType w:val="hybridMultilevel"/>
    <w:tmpl w:val="C88633D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nsid w:val="6998332E"/>
    <w:multiLevelType w:val="hybridMultilevel"/>
    <w:tmpl w:val="513CFC7E"/>
    <w:lvl w:ilvl="0" w:tplc="CCE4CA8E">
      <w:start w:val="1"/>
      <w:numFmt w:val="bullet"/>
      <w:lvlText w:val="-"/>
      <w:lvlJc w:val="left"/>
      <w:pPr>
        <w:tabs>
          <w:tab w:val="num" w:pos="1669"/>
        </w:tabs>
        <w:ind w:left="1669" w:hanging="9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nsid w:val="6A7148F2"/>
    <w:multiLevelType w:val="hybridMultilevel"/>
    <w:tmpl w:val="727A34FA"/>
    <w:lvl w:ilvl="0" w:tplc="EFAAE718">
      <w:start w:val="2"/>
      <w:numFmt w:val="bullet"/>
      <w:lvlText w:val="–"/>
      <w:lvlJc w:val="left"/>
      <w:pPr>
        <w:tabs>
          <w:tab w:val="num" w:pos="1065"/>
        </w:tabs>
        <w:ind w:left="1065" w:hanging="705"/>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D7041EF"/>
    <w:multiLevelType w:val="multilevel"/>
    <w:tmpl w:val="61A2F7B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5">
    <w:nsid w:val="72865A91"/>
    <w:multiLevelType w:val="hybridMultilevel"/>
    <w:tmpl w:val="8D58D59A"/>
    <w:lvl w:ilvl="0" w:tplc="04190011">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2D760B6"/>
    <w:multiLevelType w:val="hybridMultilevel"/>
    <w:tmpl w:val="DEB8E3F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6A85E4D"/>
    <w:multiLevelType w:val="hybridMultilevel"/>
    <w:tmpl w:val="D6BEF3F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8">
    <w:nsid w:val="7C15752E"/>
    <w:multiLevelType w:val="hybridMultilevel"/>
    <w:tmpl w:val="7D6AF076"/>
    <w:lvl w:ilvl="0" w:tplc="731A459A">
      <w:start w:val="10"/>
      <w:numFmt w:val="bullet"/>
      <w:lvlText w:val=""/>
      <w:lvlJc w:val="left"/>
      <w:pPr>
        <w:tabs>
          <w:tab w:val="num" w:pos="880"/>
        </w:tabs>
        <w:ind w:left="880" w:hanging="360"/>
      </w:pPr>
      <w:rPr>
        <w:rFonts w:ascii="Symbol" w:eastAsia="Times New Roman" w:hAnsi="Symbol" w:hint="default"/>
      </w:rPr>
    </w:lvl>
    <w:lvl w:ilvl="1" w:tplc="04190003" w:tentative="1">
      <w:start w:val="1"/>
      <w:numFmt w:val="bullet"/>
      <w:lvlText w:val="o"/>
      <w:lvlJc w:val="left"/>
      <w:pPr>
        <w:tabs>
          <w:tab w:val="num" w:pos="1600"/>
        </w:tabs>
        <w:ind w:left="1600" w:hanging="360"/>
      </w:pPr>
      <w:rPr>
        <w:rFonts w:ascii="Courier New" w:hAnsi="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num w:numId="1">
    <w:abstractNumId w:val="17"/>
  </w:num>
  <w:num w:numId="2">
    <w:abstractNumId w:val="35"/>
  </w:num>
  <w:num w:numId="3">
    <w:abstractNumId w:val="4"/>
  </w:num>
  <w:num w:numId="4">
    <w:abstractNumId w:val="9"/>
  </w:num>
  <w:num w:numId="5">
    <w:abstractNumId w:val="7"/>
  </w:num>
  <w:num w:numId="6">
    <w:abstractNumId w:val="10"/>
  </w:num>
  <w:num w:numId="7">
    <w:abstractNumId w:val="27"/>
  </w:num>
  <w:num w:numId="8">
    <w:abstractNumId w:val="5"/>
  </w:num>
  <w:num w:numId="9">
    <w:abstractNumId w:val="38"/>
  </w:num>
  <w:num w:numId="10">
    <w:abstractNumId w:val="8"/>
  </w:num>
  <w:num w:numId="11">
    <w:abstractNumId w:val="1"/>
  </w:num>
  <w:num w:numId="12">
    <w:abstractNumId w:val="30"/>
  </w:num>
  <w:num w:numId="13">
    <w:abstractNumId w:val="2"/>
  </w:num>
  <w:num w:numId="14">
    <w:abstractNumId w:val="13"/>
  </w:num>
  <w:num w:numId="15">
    <w:abstractNumId w:val="11"/>
  </w:num>
  <w:num w:numId="16">
    <w:abstractNumId w:val="0"/>
  </w:num>
  <w:num w:numId="17">
    <w:abstractNumId w:val="48"/>
  </w:num>
  <w:num w:numId="18">
    <w:abstractNumId w:val="21"/>
  </w:num>
  <w:num w:numId="19">
    <w:abstractNumId w:val="28"/>
  </w:num>
  <w:num w:numId="20">
    <w:abstractNumId w:val="33"/>
  </w:num>
  <w:num w:numId="21">
    <w:abstractNumId w:val="20"/>
  </w:num>
  <w:num w:numId="22">
    <w:abstractNumId w:val="45"/>
  </w:num>
  <w:num w:numId="23">
    <w:abstractNumId w:val="36"/>
  </w:num>
  <w:num w:numId="24">
    <w:abstractNumId w:val="46"/>
  </w:num>
  <w:num w:numId="25">
    <w:abstractNumId w:val="18"/>
  </w:num>
  <w:num w:numId="26">
    <w:abstractNumId w:val="32"/>
  </w:num>
  <w:num w:numId="27">
    <w:abstractNumId w:val="39"/>
  </w:num>
  <w:num w:numId="28">
    <w:abstractNumId w:val="31"/>
  </w:num>
  <w:num w:numId="29">
    <w:abstractNumId w:val="29"/>
  </w:num>
  <w:num w:numId="30">
    <w:abstractNumId w:val="44"/>
  </w:num>
  <w:num w:numId="31">
    <w:abstractNumId w:val="16"/>
  </w:num>
  <w:num w:numId="32">
    <w:abstractNumId w:val="6"/>
  </w:num>
  <w:num w:numId="33">
    <w:abstractNumId w:val="34"/>
  </w:num>
  <w:num w:numId="34">
    <w:abstractNumId w:val="23"/>
  </w:num>
  <w:num w:numId="35">
    <w:abstractNumId w:val="26"/>
  </w:num>
  <w:num w:numId="36">
    <w:abstractNumId w:val="42"/>
  </w:num>
  <w:num w:numId="37">
    <w:abstractNumId w:val="24"/>
  </w:num>
  <w:num w:numId="38">
    <w:abstractNumId w:val="12"/>
  </w:num>
  <w:num w:numId="39">
    <w:abstractNumId w:val="14"/>
  </w:num>
  <w:num w:numId="40">
    <w:abstractNumId w:val="3"/>
    <w:lvlOverride w:ilvl="0">
      <w:lvl w:ilvl="0">
        <w:numFmt w:val="bullet"/>
        <w:lvlText w:val="•"/>
        <w:legacy w:legacy="1" w:legacySpace="0" w:legacyIndent="353"/>
        <w:lvlJc w:val="left"/>
        <w:rPr>
          <w:rFonts w:ascii="Times New Roman" w:hAnsi="Times New Roman" w:hint="default"/>
        </w:rPr>
      </w:lvl>
    </w:lvlOverride>
  </w:num>
  <w:num w:numId="41">
    <w:abstractNumId w:val="25"/>
  </w:num>
  <w:num w:numId="42">
    <w:abstractNumId w:val="40"/>
  </w:num>
  <w:num w:numId="43">
    <w:abstractNumId w:val="43"/>
  </w:num>
  <w:num w:numId="44">
    <w:abstractNumId w:val="22"/>
  </w:num>
  <w:num w:numId="45">
    <w:abstractNumId w:val="19"/>
  </w:num>
  <w:num w:numId="46">
    <w:abstractNumId w:val="15"/>
  </w:num>
  <w:num w:numId="47">
    <w:abstractNumId w:val="47"/>
  </w:num>
  <w:num w:numId="48">
    <w:abstractNumId w:val="4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0760"/>
    <w:rsid w:val="00000857"/>
    <w:rsid w:val="00001978"/>
    <w:rsid w:val="00001AF1"/>
    <w:rsid w:val="00001D6E"/>
    <w:rsid w:val="00003B63"/>
    <w:rsid w:val="00003D0E"/>
    <w:rsid w:val="00004206"/>
    <w:rsid w:val="000058FF"/>
    <w:rsid w:val="00006C31"/>
    <w:rsid w:val="00006EA0"/>
    <w:rsid w:val="00007FBF"/>
    <w:rsid w:val="00010120"/>
    <w:rsid w:val="0001040D"/>
    <w:rsid w:val="0001081B"/>
    <w:rsid w:val="00010BF3"/>
    <w:rsid w:val="00010D07"/>
    <w:rsid w:val="00011940"/>
    <w:rsid w:val="000120A9"/>
    <w:rsid w:val="0001393D"/>
    <w:rsid w:val="00013DCB"/>
    <w:rsid w:val="00014013"/>
    <w:rsid w:val="000142F5"/>
    <w:rsid w:val="00015871"/>
    <w:rsid w:val="000167D0"/>
    <w:rsid w:val="0001703F"/>
    <w:rsid w:val="00017191"/>
    <w:rsid w:val="00017567"/>
    <w:rsid w:val="00020680"/>
    <w:rsid w:val="000208A6"/>
    <w:rsid w:val="00021977"/>
    <w:rsid w:val="0002212C"/>
    <w:rsid w:val="0002292A"/>
    <w:rsid w:val="00022B12"/>
    <w:rsid w:val="0002341B"/>
    <w:rsid w:val="0002357F"/>
    <w:rsid w:val="00024DFA"/>
    <w:rsid w:val="00025321"/>
    <w:rsid w:val="00025CF1"/>
    <w:rsid w:val="000264E2"/>
    <w:rsid w:val="00027103"/>
    <w:rsid w:val="000275C2"/>
    <w:rsid w:val="00027F89"/>
    <w:rsid w:val="000309F6"/>
    <w:rsid w:val="000313CC"/>
    <w:rsid w:val="0003216C"/>
    <w:rsid w:val="0003233E"/>
    <w:rsid w:val="00032C51"/>
    <w:rsid w:val="000334F9"/>
    <w:rsid w:val="00033624"/>
    <w:rsid w:val="00033F9A"/>
    <w:rsid w:val="00034240"/>
    <w:rsid w:val="000347D6"/>
    <w:rsid w:val="00034C80"/>
    <w:rsid w:val="00035594"/>
    <w:rsid w:val="0003576E"/>
    <w:rsid w:val="00035E11"/>
    <w:rsid w:val="000368FC"/>
    <w:rsid w:val="000371A6"/>
    <w:rsid w:val="00037503"/>
    <w:rsid w:val="000377F2"/>
    <w:rsid w:val="00037F90"/>
    <w:rsid w:val="0004050D"/>
    <w:rsid w:val="00040CC8"/>
    <w:rsid w:val="00040DDB"/>
    <w:rsid w:val="00040DDC"/>
    <w:rsid w:val="00041B15"/>
    <w:rsid w:val="00042F1A"/>
    <w:rsid w:val="000432DE"/>
    <w:rsid w:val="00044A80"/>
    <w:rsid w:val="00044EC8"/>
    <w:rsid w:val="00045F12"/>
    <w:rsid w:val="00047286"/>
    <w:rsid w:val="00047347"/>
    <w:rsid w:val="000476F5"/>
    <w:rsid w:val="00050799"/>
    <w:rsid w:val="00051815"/>
    <w:rsid w:val="0005257A"/>
    <w:rsid w:val="00052CB2"/>
    <w:rsid w:val="00052D93"/>
    <w:rsid w:val="000538A7"/>
    <w:rsid w:val="000543F7"/>
    <w:rsid w:val="00054B87"/>
    <w:rsid w:val="0005685B"/>
    <w:rsid w:val="00056BA6"/>
    <w:rsid w:val="00057664"/>
    <w:rsid w:val="00057CAC"/>
    <w:rsid w:val="00060013"/>
    <w:rsid w:val="00060C4F"/>
    <w:rsid w:val="0006222B"/>
    <w:rsid w:val="0006231C"/>
    <w:rsid w:val="000627DB"/>
    <w:rsid w:val="00062BCB"/>
    <w:rsid w:val="000640F2"/>
    <w:rsid w:val="000656E3"/>
    <w:rsid w:val="0006581D"/>
    <w:rsid w:val="0006622E"/>
    <w:rsid w:val="00066873"/>
    <w:rsid w:val="00066EEE"/>
    <w:rsid w:val="00067532"/>
    <w:rsid w:val="000709FA"/>
    <w:rsid w:val="00070F3E"/>
    <w:rsid w:val="00071179"/>
    <w:rsid w:val="0007149E"/>
    <w:rsid w:val="00071671"/>
    <w:rsid w:val="00071CF9"/>
    <w:rsid w:val="00073488"/>
    <w:rsid w:val="00074771"/>
    <w:rsid w:val="00074EB9"/>
    <w:rsid w:val="00075A5A"/>
    <w:rsid w:val="00076555"/>
    <w:rsid w:val="0007744D"/>
    <w:rsid w:val="000777EB"/>
    <w:rsid w:val="00081293"/>
    <w:rsid w:val="0008156D"/>
    <w:rsid w:val="00081FDE"/>
    <w:rsid w:val="0008201B"/>
    <w:rsid w:val="00083532"/>
    <w:rsid w:val="00086528"/>
    <w:rsid w:val="00086D7C"/>
    <w:rsid w:val="00087241"/>
    <w:rsid w:val="00087E1C"/>
    <w:rsid w:val="00090191"/>
    <w:rsid w:val="000901A5"/>
    <w:rsid w:val="00090278"/>
    <w:rsid w:val="000906F0"/>
    <w:rsid w:val="00091E80"/>
    <w:rsid w:val="00092599"/>
    <w:rsid w:val="000930D3"/>
    <w:rsid w:val="00093743"/>
    <w:rsid w:val="00093FB7"/>
    <w:rsid w:val="0009452B"/>
    <w:rsid w:val="00094692"/>
    <w:rsid w:val="00096FAD"/>
    <w:rsid w:val="000979FA"/>
    <w:rsid w:val="00097FD8"/>
    <w:rsid w:val="000A16C0"/>
    <w:rsid w:val="000A3365"/>
    <w:rsid w:val="000A35A5"/>
    <w:rsid w:val="000A3F1F"/>
    <w:rsid w:val="000A5BE1"/>
    <w:rsid w:val="000A63CA"/>
    <w:rsid w:val="000A67C2"/>
    <w:rsid w:val="000A79BE"/>
    <w:rsid w:val="000B12E9"/>
    <w:rsid w:val="000B1825"/>
    <w:rsid w:val="000B1B57"/>
    <w:rsid w:val="000B2556"/>
    <w:rsid w:val="000B2ECF"/>
    <w:rsid w:val="000B4385"/>
    <w:rsid w:val="000B49BA"/>
    <w:rsid w:val="000B50EA"/>
    <w:rsid w:val="000B70B3"/>
    <w:rsid w:val="000C08E5"/>
    <w:rsid w:val="000C10D4"/>
    <w:rsid w:val="000C2E14"/>
    <w:rsid w:val="000C4B49"/>
    <w:rsid w:val="000C5BB2"/>
    <w:rsid w:val="000C7029"/>
    <w:rsid w:val="000C79D1"/>
    <w:rsid w:val="000D0ADB"/>
    <w:rsid w:val="000D0B00"/>
    <w:rsid w:val="000D109D"/>
    <w:rsid w:val="000D1902"/>
    <w:rsid w:val="000D2605"/>
    <w:rsid w:val="000D269A"/>
    <w:rsid w:val="000D2D6B"/>
    <w:rsid w:val="000D3D01"/>
    <w:rsid w:val="000D4424"/>
    <w:rsid w:val="000D5A49"/>
    <w:rsid w:val="000D7241"/>
    <w:rsid w:val="000D7E88"/>
    <w:rsid w:val="000E0B87"/>
    <w:rsid w:val="000E0BB9"/>
    <w:rsid w:val="000E1330"/>
    <w:rsid w:val="000E17FD"/>
    <w:rsid w:val="000E1B06"/>
    <w:rsid w:val="000E370B"/>
    <w:rsid w:val="000E3E48"/>
    <w:rsid w:val="000E464A"/>
    <w:rsid w:val="000E5AEC"/>
    <w:rsid w:val="000E5D9E"/>
    <w:rsid w:val="000E654E"/>
    <w:rsid w:val="000E72D2"/>
    <w:rsid w:val="000E7F6D"/>
    <w:rsid w:val="000F1017"/>
    <w:rsid w:val="000F25C2"/>
    <w:rsid w:val="000F2A84"/>
    <w:rsid w:val="000F433A"/>
    <w:rsid w:val="000F46AC"/>
    <w:rsid w:val="000F5605"/>
    <w:rsid w:val="000F5745"/>
    <w:rsid w:val="000F6980"/>
    <w:rsid w:val="000F7394"/>
    <w:rsid w:val="000F740B"/>
    <w:rsid w:val="00100376"/>
    <w:rsid w:val="00100955"/>
    <w:rsid w:val="001012B5"/>
    <w:rsid w:val="00102872"/>
    <w:rsid w:val="00103E39"/>
    <w:rsid w:val="00104492"/>
    <w:rsid w:val="0010636A"/>
    <w:rsid w:val="00106404"/>
    <w:rsid w:val="00106479"/>
    <w:rsid w:val="001064BC"/>
    <w:rsid w:val="00106739"/>
    <w:rsid w:val="00106D1F"/>
    <w:rsid w:val="00107BD8"/>
    <w:rsid w:val="0011062E"/>
    <w:rsid w:val="00111F50"/>
    <w:rsid w:val="0011206A"/>
    <w:rsid w:val="00113A8B"/>
    <w:rsid w:val="00113C30"/>
    <w:rsid w:val="0011429A"/>
    <w:rsid w:val="001154EB"/>
    <w:rsid w:val="00115978"/>
    <w:rsid w:val="00116222"/>
    <w:rsid w:val="00116A40"/>
    <w:rsid w:val="00116B5A"/>
    <w:rsid w:val="00116F85"/>
    <w:rsid w:val="00117CD5"/>
    <w:rsid w:val="001218BE"/>
    <w:rsid w:val="00122BC9"/>
    <w:rsid w:val="00123FAE"/>
    <w:rsid w:val="001242A9"/>
    <w:rsid w:val="001255E3"/>
    <w:rsid w:val="00125B39"/>
    <w:rsid w:val="0012603B"/>
    <w:rsid w:val="00126085"/>
    <w:rsid w:val="00126448"/>
    <w:rsid w:val="0012645F"/>
    <w:rsid w:val="00130663"/>
    <w:rsid w:val="0013099B"/>
    <w:rsid w:val="00130F1C"/>
    <w:rsid w:val="0013129A"/>
    <w:rsid w:val="0013255C"/>
    <w:rsid w:val="00132B0E"/>
    <w:rsid w:val="00132E92"/>
    <w:rsid w:val="00133E11"/>
    <w:rsid w:val="0013695C"/>
    <w:rsid w:val="00136EFF"/>
    <w:rsid w:val="0013758E"/>
    <w:rsid w:val="00137EB9"/>
    <w:rsid w:val="001405A4"/>
    <w:rsid w:val="00140E77"/>
    <w:rsid w:val="001411B0"/>
    <w:rsid w:val="001425BC"/>
    <w:rsid w:val="00142E7F"/>
    <w:rsid w:val="001436E5"/>
    <w:rsid w:val="00144191"/>
    <w:rsid w:val="0014464E"/>
    <w:rsid w:val="00144AA6"/>
    <w:rsid w:val="00144F78"/>
    <w:rsid w:val="001450BF"/>
    <w:rsid w:val="00146533"/>
    <w:rsid w:val="00146DDD"/>
    <w:rsid w:val="00147630"/>
    <w:rsid w:val="00147BB6"/>
    <w:rsid w:val="00150318"/>
    <w:rsid w:val="00150657"/>
    <w:rsid w:val="0015083A"/>
    <w:rsid w:val="00151A94"/>
    <w:rsid w:val="001532E6"/>
    <w:rsid w:val="001534AC"/>
    <w:rsid w:val="00153912"/>
    <w:rsid w:val="00154DF7"/>
    <w:rsid w:val="001555A3"/>
    <w:rsid w:val="0015619E"/>
    <w:rsid w:val="00157CDD"/>
    <w:rsid w:val="00160E8F"/>
    <w:rsid w:val="001610C7"/>
    <w:rsid w:val="00161300"/>
    <w:rsid w:val="0016139E"/>
    <w:rsid w:val="00162271"/>
    <w:rsid w:val="00162E8A"/>
    <w:rsid w:val="00163539"/>
    <w:rsid w:val="00164C81"/>
    <w:rsid w:val="00165C7D"/>
    <w:rsid w:val="00165E5E"/>
    <w:rsid w:val="00165EDF"/>
    <w:rsid w:val="00166AEA"/>
    <w:rsid w:val="00166DE6"/>
    <w:rsid w:val="001671F5"/>
    <w:rsid w:val="00167260"/>
    <w:rsid w:val="00167358"/>
    <w:rsid w:val="001676F6"/>
    <w:rsid w:val="00167E1B"/>
    <w:rsid w:val="00167E57"/>
    <w:rsid w:val="00170480"/>
    <w:rsid w:val="001705A7"/>
    <w:rsid w:val="001714CE"/>
    <w:rsid w:val="001717E0"/>
    <w:rsid w:val="00173205"/>
    <w:rsid w:val="0017366F"/>
    <w:rsid w:val="00173C9C"/>
    <w:rsid w:val="00175474"/>
    <w:rsid w:val="00175E5C"/>
    <w:rsid w:val="00176412"/>
    <w:rsid w:val="00176853"/>
    <w:rsid w:val="00180476"/>
    <w:rsid w:val="0018059F"/>
    <w:rsid w:val="0018151D"/>
    <w:rsid w:val="00181D2C"/>
    <w:rsid w:val="00182EE1"/>
    <w:rsid w:val="001844A8"/>
    <w:rsid w:val="00184524"/>
    <w:rsid w:val="00184747"/>
    <w:rsid w:val="0018488D"/>
    <w:rsid w:val="00187B19"/>
    <w:rsid w:val="001902E5"/>
    <w:rsid w:val="001914DE"/>
    <w:rsid w:val="00192730"/>
    <w:rsid w:val="00192969"/>
    <w:rsid w:val="00193F4B"/>
    <w:rsid w:val="00194941"/>
    <w:rsid w:val="00194FEF"/>
    <w:rsid w:val="00195597"/>
    <w:rsid w:val="001955DC"/>
    <w:rsid w:val="0019703B"/>
    <w:rsid w:val="00197B19"/>
    <w:rsid w:val="001A0532"/>
    <w:rsid w:val="001A06C3"/>
    <w:rsid w:val="001A0D67"/>
    <w:rsid w:val="001A10BA"/>
    <w:rsid w:val="001A15E7"/>
    <w:rsid w:val="001A2218"/>
    <w:rsid w:val="001A2671"/>
    <w:rsid w:val="001A2E3D"/>
    <w:rsid w:val="001A38C0"/>
    <w:rsid w:val="001A4359"/>
    <w:rsid w:val="001A67A3"/>
    <w:rsid w:val="001A6968"/>
    <w:rsid w:val="001A6A65"/>
    <w:rsid w:val="001A7001"/>
    <w:rsid w:val="001A7042"/>
    <w:rsid w:val="001A7D33"/>
    <w:rsid w:val="001A7F40"/>
    <w:rsid w:val="001B06C5"/>
    <w:rsid w:val="001B2E43"/>
    <w:rsid w:val="001B2EB5"/>
    <w:rsid w:val="001B379E"/>
    <w:rsid w:val="001B3F48"/>
    <w:rsid w:val="001B4593"/>
    <w:rsid w:val="001B498B"/>
    <w:rsid w:val="001B4CDD"/>
    <w:rsid w:val="001B55CB"/>
    <w:rsid w:val="001B57DC"/>
    <w:rsid w:val="001B5812"/>
    <w:rsid w:val="001B5BCB"/>
    <w:rsid w:val="001B646D"/>
    <w:rsid w:val="001B64F0"/>
    <w:rsid w:val="001B6527"/>
    <w:rsid w:val="001B65D9"/>
    <w:rsid w:val="001C03FC"/>
    <w:rsid w:val="001C07A1"/>
    <w:rsid w:val="001C0D00"/>
    <w:rsid w:val="001C15C4"/>
    <w:rsid w:val="001C168D"/>
    <w:rsid w:val="001C1C71"/>
    <w:rsid w:val="001C39C2"/>
    <w:rsid w:val="001C5A34"/>
    <w:rsid w:val="001C664B"/>
    <w:rsid w:val="001C67B4"/>
    <w:rsid w:val="001C7B5E"/>
    <w:rsid w:val="001D09DB"/>
    <w:rsid w:val="001D0EC5"/>
    <w:rsid w:val="001D191F"/>
    <w:rsid w:val="001D236C"/>
    <w:rsid w:val="001D3931"/>
    <w:rsid w:val="001D3E3A"/>
    <w:rsid w:val="001D41C2"/>
    <w:rsid w:val="001D4D21"/>
    <w:rsid w:val="001D5A53"/>
    <w:rsid w:val="001D6574"/>
    <w:rsid w:val="001D7623"/>
    <w:rsid w:val="001D7675"/>
    <w:rsid w:val="001D7B24"/>
    <w:rsid w:val="001E17CD"/>
    <w:rsid w:val="001E20DE"/>
    <w:rsid w:val="001E2453"/>
    <w:rsid w:val="001E24FF"/>
    <w:rsid w:val="001E2B5C"/>
    <w:rsid w:val="001E3C12"/>
    <w:rsid w:val="001E3EEB"/>
    <w:rsid w:val="001E4EC9"/>
    <w:rsid w:val="001E6822"/>
    <w:rsid w:val="001E7A3F"/>
    <w:rsid w:val="001F0126"/>
    <w:rsid w:val="001F04FA"/>
    <w:rsid w:val="001F0A84"/>
    <w:rsid w:val="001F0AEA"/>
    <w:rsid w:val="001F0B76"/>
    <w:rsid w:val="001F1962"/>
    <w:rsid w:val="001F2048"/>
    <w:rsid w:val="001F2C59"/>
    <w:rsid w:val="001F33EA"/>
    <w:rsid w:val="001F347D"/>
    <w:rsid w:val="001F3CE6"/>
    <w:rsid w:val="001F6318"/>
    <w:rsid w:val="001F646F"/>
    <w:rsid w:val="001F6A72"/>
    <w:rsid w:val="001F76E1"/>
    <w:rsid w:val="001F7707"/>
    <w:rsid w:val="0020003B"/>
    <w:rsid w:val="0020281E"/>
    <w:rsid w:val="002031DE"/>
    <w:rsid w:val="00203643"/>
    <w:rsid w:val="00203987"/>
    <w:rsid w:val="00203C58"/>
    <w:rsid w:val="0020407F"/>
    <w:rsid w:val="0020440E"/>
    <w:rsid w:val="002045A8"/>
    <w:rsid w:val="00204BB3"/>
    <w:rsid w:val="00204DB0"/>
    <w:rsid w:val="00205C08"/>
    <w:rsid w:val="0020678A"/>
    <w:rsid w:val="00206DC5"/>
    <w:rsid w:val="00207AB2"/>
    <w:rsid w:val="00210018"/>
    <w:rsid w:val="00210771"/>
    <w:rsid w:val="00210872"/>
    <w:rsid w:val="00210CF1"/>
    <w:rsid w:val="00211518"/>
    <w:rsid w:val="00214677"/>
    <w:rsid w:val="0021470F"/>
    <w:rsid w:val="00214B9F"/>
    <w:rsid w:val="00214FAC"/>
    <w:rsid w:val="002151B9"/>
    <w:rsid w:val="002152B9"/>
    <w:rsid w:val="0021672C"/>
    <w:rsid w:val="002168EE"/>
    <w:rsid w:val="00216A99"/>
    <w:rsid w:val="00217096"/>
    <w:rsid w:val="002176B4"/>
    <w:rsid w:val="00217D64"/>
    <w:rsid w:val="002209F7"/>
    <w:rsid w:val="00220C08"/>
    <w:rsid w:val="00220CA9"/>
    <w:rsid w:val="00221CF9"/>
    <w:rsid w:val="00221F90"/>
    <w:rsid w:val="002221FD"/>
    <w:rsid w:val="00224007"/>
    <w:rsid w:val="00224069"/>
    <w:rsid w:val="00224088"/>
    <w:rsid w:val="00225436"/>
    <w:rsid w:val="00226458"/>
    <w:rsid w:val="0022718D"/>
    <w:rsid w:val="00227669"/>
    <w:rsid w:val="00227850"/>
    <w:rsid w:val="002301F6"/>
    <w:rsid w:val="002325E6"/>
    <w:rsid w:val="00232619"/>
    <w:rsid w:val="00233B29"/>
    <w:rsid w:val="00234C0C"/>
    <w:rsid w:val="002354E1"/>
    <w:rsid w:val="0023677B"/>
    <w:rsid w:val="00236A55"/>
    <w:rsid w:val="00236E15"/>
    <w:rsid w:val="00236F5E"/>
    <w:rsid w:val="002379FA"/>
    <w:rsid w:val="00237B1E"/>
    <w:rsid w:val="00237DC7"/>
    <w:rsid w:val="00240C7E"/>
    <w:rsid w:val="0024122D"/>
    <w:rsid w:val="002412D8"/>
    <w:rsid w:val="002445BF"/>
    <w:rsid w:val="00245937"/>
    <w:rsid w:val="002461EC"/>
    <w:rsid w:val="00246228"/>
    <w:rsid w:val="00247570"/>
    <w:rsid w:val="0025057B"/>
    <w:rsid w:val="00250906"/>
    <w:rsid w:val="00251609"/>
    <w:rsid w:val="0025164B"/>
    <w:rsid w:val="00251B23"/>
    <w:rsid w:val="002533C0"/>
    <w:rsid w:val="00255B96"/>
    <w:rsid w:val="00255C1F"/>
    <w:rsid w:val="00256450"/>
    <w:rsid w:val="00256FD5"/>
    <w:rsid w:val="00257624"/>
    <w:rsid w:val="00257D5B"/>
    <w:rsid w:val="00260529"/>
    <w:rsid w:val="00261287"/>
    <w:rsid w:val="002613BC"/>
    <w:rsid w:val="0026185A"/>
    <w:rsid w:val="00261951"/>
    <w:rsid w:val="00261E57"/>
    <w:rsid w:val="00262374"/>
    <w:rsid w:val="00262623"/>
    <w:rsid w:val="002633AC"/>
    <w:rsid w:val="00263D2B"/>
    <w:rsid w:val="00264081"/>
    <w:rsid w:val="002640E7"/>
    <w:rsid w:val="002646FC"/>
    <w:rsid w:val="0026549B"/>
    <w:rsid w:val="00265605"/>
    <w:rsid w:val="0026607D"/>
    <w:rsid w:val="00266227"/>
    <w:rsid w:val="002675D5"/>
    <w:rsid w:val="002706D9"/>
    <w:rsid w:val="002718DB"/>
    <w:rsid w:val="00272648"/>
    <w:rsid w:val="002728A8"/>
    <w:rsid w:val="00273842"/>
    <w:rsid w:val="00273D5B"/>
    <w:rsid w:val="002758C9"/>
    <w:rsid w:val="00275EE6"/>
    <w:rsid w:val="00276115"/>
    <w:rsid w:val="00276AFF"/>
    <w:rsid w:val="002770F9"/>
    <w:rsid w:val="00277EA9"/>
    <w:rsid w:val="00280C66"/>
    <w:rsid w:val="00281978"/>
    <w:rsid w:val="0028309B"/>
    <w:rsid w:val="00283622"/>
    <w:rsid w:val="00283664"/>
    <w:rsid w:val="002836BA"/>
    <w:rsid w:val="00285306"/>
    <w:rsid w:val="00285DD2"/>
    <w:rsid w:val="002874CD"/>
    <w:rsid w:val="00287723"/>
    <w:rsid w:val="00287AE7"/>
    <w:rsid w:val="00287CBC"/>
    <w:rsid w:val="0029007D"/>
    <w:rsid w:val="002905A8"/>
    <w:rsid w:val="00290DA2"/>
    <w:rsid w:val="0029114F"/>
    <w:rsid w:val="00291C12"/>
    <w:rsid w:val="00291CFF"/>
    <w:rsid w:val="0029222D"/>
    <w:rsid w:val="00292643"/>
    <w:rsid w:val="002938AA"/>
    <w:rsid w:val="00293C19"/>
    <w:rsid w:val="002944ED"/>
    <w:rsid w:val="00295195"/>
    <w:rsid w:val="002967E3"/>
    <w:rsid w:val="00297B26"/>
    <w:rsid w:val="00297E7B"/>
    <w:rsid w:val="002A0B15"/>
    <w:rsid w:val="002A0F00"/>
    <w:rsid w:val="002A1484"/>
    <w:rsid w:val="002A19F0"/>
    <w:rsid w:val="002A2CC6"/>
    <w:rsid w:val="002A3F31"/>
    <w:rsid w:val="002A511E"/>
    <w:rsid w:val="002A560C"/>
    <w:rsid w:val="002A715C"/>
    <w:rsid w:val="002A77C0"/>
    <w:rsid w:val="002B095B"/>
    <w:rsid w:val="002B1197"/>
    <w:rsid w:val="002B1B91"/>
    <w:rsid w:val="002B2236"/>
    <w:rsid w:val="002B2639"/>
    <w:rsid w:val="002B29D3"/>
    <w:rsid w:val="002B3196"/>
    <w:rsid w:val="002B3251"/>
    <w:rsid w:val="002B332F"/>
    <w:rsid w:val="002B4233"/>
    <w:rsid w:val="002B5173"/>
    <w:rsid w:val="002B56DA"/>
    <w:rsid w:val="002B5F99"/>
    <w:rsid w:val="002B6B56"/>
    <w:rsid w:val="002B6DD2"/>
    <w:rsid w:val="002B7744"/>
    <w:rsid w:val="002C0178"/>
    <w:rsid w:val="002C0FCE"/>
    <w:rsid w:val="002C10D3"/>
    <w:rsid w:val="002C1B97"/>
    <w:rsid w:val="002C331E"/>
    <w:rsid w:val="002C3D26"/>
    <w:rsid w:val="002C421F"/>
    <w:rsid w:val="002C48FE"/>
    <w:rsid w:val="002C5371"/>
    <w:rsid w:val="002C551A"/>
    <w:rsid w:val="002C5B0F"/>
    <w:rsid w:val="002C5FB2"/>
    <w:rsid w:val="002C6CD6"/>
    <w:rsid w:val="002C7222"/>
    <w:rsid w:val="002C780D"/>
    <w:rsid w:val="002D0513"/>
    <w:rsid w:val="002D0FA2"/>
    <w:rsid w:val="002D24D5"/>
    <w:rsid w:val="002D28B1"/>
    <w:rsid w:val="002D2BD9"/>
    <w:rsid w:val="002D2C93"/>
    <w:rsid w:val="002D325F"/>
    <w:rsid w:val="002D3E2B"/>
    <w:rsid w:val="002D5C7B"/>
    <w:rsid w:val="002D6A6A"/>
    <w:rsid w:val="002D6F9E"/>
    <w:rsid w:val="002D6FB7"/>
    <w:rsid w:val="002D7DFF"/>
    <w:rsid w:val="002E07B7"/>
    <w:rsid w:val="002E2DE3"/>
    <w:rsid w:val="002E3143"/>
    <w:rsid w:val="002E3845"/>
    <w:rsid w:val="002E43CC"/>
    <w:rsid w:val="002E4954"/>
    <w:rsid w:val="002E6042"/>
    <w:rsid w:val="002E752A"/>
    <w:rsid w:val="002E7A42"/>
    <w:rsid w:val="002E7B7D"/>
    <w:rsid w:val="002E7C04"/>
    <w:rsid w:val="002F035D"/>
    <w:rsid w:val="002F09B0"/>
    <w:rsid w:val="002F10E6"/>
    <w:rsid w:val="002F17F4"/>
    <w:rsid w:val="002F1C3A"/>
    <w:rsid w:val="002F2894"/>
    <w:rsid w:val="002F29DD"/>
    <w:rsid w:val="002F3789"/>
    <w:rsid w:val="002F4AB9"/>
    <w:rsid w:val="002F5826"/>
    <w:rsid w:val="002F70F2"/>
    <w:rsid w:val="002F7E05"/>
    <w:rsid w:val="00301C3E"/>
    <w:rsid w:val="00301DD1"/>
    <w:rsid w:val="0030225F"/>
    <w:rsid w:val="0030527B"/>
    <w:rsid w:val="00306466"/>
    <w:rsid w:val="00306EA2"/>
    <w:rsid w:val="00306FD8"/>
    <w:rsid w:val="003073C2"/>
    <w:rsid w:val="00307AAD"/>
    <w:rsid w:val="003108A8"/>
    <w:rsid w:val="003121EE"/>
    <w:rsid w:val="0031287F"/>
    <w:rsid w:val="00312F09"/>
    <w:rsid w:val="003132FD"/>
    <w:rsid w:val="00313315"/>
    <w:rsid w:val="00313A57"/>
    <w:rsid w:val="0031494D"/>
    <w:rsid w:val="00314CE9"/>
    <w:rsid w:val="00314D0D"/>
    <w:rsid w:val="00314E52"/>
    <w:rsid w:val="00315E15"/>
    <w:rsid w:val="00315F8C"/>
    <w:rsid w:val="003162EB"/>
    <w:rsid w:val="00317247"/>
    <w:rsid w:val="00320193"/>
    <w:rsid w:val="00320FE2"/>
    <w:rsid w:val="0032219C"/>
    <w:rsid w:val="003237F8"/>
    <w:rsid w:val="00323D52"/>
    <w:rsid w:val="00324471"/>
    <w:rsid w:val="00324F3B"/>
    <w:rsid w:val="003250B0"/>
    <w:rsid w:val="00326B91"/>
    <w:rsid w:val="00327346"/>
    <w:rsid w:val="00327686"/>
    <w:rsid w:val="0032785A"/>
    <w:rsid w:val="003306E9"/>
    <w:rsid w:val="00330F1C"/>
    <w:rsid w:val="00331B5F"/>
    <w:rsid w:val="0033234A"/>
    <w:rsid w:val="00335186"/>
    <w:rsid w:val="0033602D"/>
    <w:rsid w:val="003366E3"/>
    <w:rsid w:val="00336AA0"/>
    <w:rsid w:val="003372C6"/>
    <w:rsid w:val="00337E5D"/>
    <w:rsid w:val="00340107"/>
    <w:rsid w:val="00340425"/>
    <w:rsid w:val="0034092C"/>
    <w:rsid w:val="00341299"/>
    <w:rsid w:val="00342007"/>
    <w:rsid w:val="003420E1"/>
    <w:rsid w:val="00342645"/>
    <w:rsid w:val="00342885"/>
    <w:rsid w:val="00342C2D"/>
    <w:rsid w:val="003433BB"/>
    <w:rsid w:val="003436FB"/>
    <w:rsid w:val="00343C2E"/>
    <w:rsid w:val="0034514A"/>
    <w:rsid w:val="003453BD"/>
    <w:rsid w:val="00345E13"/>
    <w:rsid w:val="0034633A"/>
    <w:rsid w:val="00346B8F"/>
    <w:rsid w:val="00347528"/>
    <w:rsid w:val="00347C69"/>
    <w:rsid w:val="00347FF8"/>
    <w:rsid w:val="00350779"/>
    <w:rsid w:val="00350A65"/>
    <w:rsid w:val="00350E5F"/>
    <w:rsid w:val="00351231"/>
    <w:rsid w:val="003515FB"/>
    <w:rsid w:val="00351995"/>
    <w:rsid w:val="00353065"/>
    <w:rsid w:val="003533C1"/>
    <w:rsid w:val="003544BF"/>
    <w:rsid w:val="00354940"/>
    <w:rsid w:val="00355850"/>
    <w:rsid w:val="00355BD5"/>
    <w:rsid w:val="0035606C"/>
    <w:rsid w:val="00356547"/>
    <w:rsid w:val="003566C1"/>
    <w:rsid w:val="003570C2"/>
    <w:rsid w:val="00357408"/>
    <w:rsid w:val="003575FC"/>
    <w:rsid w:val="00357752"/>
    <w:rsid w:val="0035797E"/>
    <w:rsid w:val="00360613"/>
    <w:rsid w:val="003608CA"/>
    <w:rsid w:val="003609C8"/>
    <w:rsid w:val="00360DE5"/>
    <w:rsid w:val="003619EC"/>
    <w:rsid w:val="00361F46"/>
    <w:rsid w:val="00363921"/>
    <w:rsid w:val="00365421"/>
    <w:rsid w:val="00366DF5"/>
    <w:rsid w:val="0036721C"/>
    <w:rsid w:val="00367322"/>
    <w:rsid w:val="00367CE1"/>
    <w:rsid w:val="00370285"/>
    <w:rsid w:val="00370ECB"/>
    <w:rsid w:val="00370FF3"/>
    <w:rsid w:val="0037212C"/>
    <w:rsid w:val="003734E6"/>
    <w:rsid w:val="00373775"/>
    <w:rsid w:val="003738C0"/>
    <w:rsid w:val="00373CE6"/>
    <w:rsid w:val="00375E69"/>
    <w:rsid w:val="00376496"/>
    <w:rsid w:val="00376CC7"/>
    <w:rsid w:val="00380AC4"/>
    <w:rsid w:val="00381123"/>
    <w:rsid w:val="00381688"/>
    <w:rsid w:val="00382506"/>
    <w:rsid w:val="00385D24"/>
    <w:rsid w:val="00385D51"/>
    <w:rsid w:val="003860C9"/>
    <w:rsid w:val="00386C64"/>
    <w:rsid w:val="00390855"/>
    <w:rsid w:val="00391758"/>
    <w:rsid w:val="003920FC"/>
    <w:rsid w:val="00393878"/>
    <w:rsid w:val="00393C80"/>
    <w:rsid w:val="00394F45"/>
    <w:rsid w:val="00395593"/>
    <w:rsid w:val="00395C10"/>
    <w:rsid w:val="00395E0A"/>
    <w:rsid w:val="00396871"/>
    <w:rsid w:val="00396FFD"/>
    <w:rsid w:val="003975EA"/>
    <w:rsid w:val="00397637"/>
    <w:rsid w:val="003A0FC3"/>
    <w:rsid w:val="003A101D"/>
    <w:rsid w:val="003A1B52"/>
    <w:rsid w:val="003A23AC"/>
    <w:rsid w:val="003A27CB"/>
    <w:rsid w:val="003A7364"/>
    <w:rsid w:val="003A7ADD"/>
    <w:rsid w:val="003A7D35"/>
    <w:rsid w:val="003B25CF"/>
    <w:rsid w:val="003B2B13"/>
    <w:rsid w:val="003B2B75"/>
    <w:rsid w:val="003B4556"/>
    <w:rsid w:val="003B4ED3"/>
    <w:rsid w:val="003B4FD8"/>
    <w:rsid w:val="003B54D9"/>
    <w:rsid w:val="003B6762"/>
    <w:rsid w:val="003B742C"/>
    <w:rsid w:val="003B74C8"/>
    <w:rsid w:val="003C0422"/>
    <w:rsid w:val="003C0B3F"/>
    <w:rsid w:val="003C3FD5"/>
    <w:rsid w:val="003C440F"/>
    <w:rsid w:val="003C4C2B"/>
    <w:rsid w:val="003C6095"/>
    <w:rsid w:val="003C62DA"/>
    <w:rsid w:val="003C6817"/>
    <w:rsid w:val="003D17D8"/>
    <w:rsid w:val="003D2293"/>
    <w:rsid w:val="003D310C"/>
    <w:rsid w:val="003D38B2"/>
    <w:rsid w:val="003D3C49"/>
    <w:rsid w:val="003D4033"/>
    <w:rsid w:val="003D5433"/>
    <w:rsid w:val="003D5B67"/>
    <w:rsid w:val="003D5CB7"/>
    <w:rsid w:val="003E1441"/>
    <w:rsid w:val="003E1667"/>
    <w:rsid w:val="003E2175"/>
    <w:rsid w:val="003E236C"/>
    <w:rsid w:val="003E24B2"/>
    <w:rsid w:val="003E43AF"/>
    <w:rsid w:val="003E4544"/>
    <w:rsid w:val="003E77A8"/>
    <w:rsid w:val="003E7900"/>
    <w:rsid w:val="003F00B4"/>
    <w:rsid w:val="003F2B4C"/>
    <w:rsid w:val="003F2FA1"/>
    <w:rsid w:val="003F398B"/>
    <w:rsid w:val="003F3D32"/>
    <w:rsid w:val="003F430F"/>
    <w:rsid w:val="003F4780"/>
    <w:rsid w:val="003F5575"/>
    <w:rsid w:val="003F62CB"/>
    <w:rsid w:val="003F69CC"/>
    <w:rsid w:val="003F71DC"/>
    <w:rsid w:val="003F7D8D"/>
    <w:rsid w:val="004006E1"/>
    <w:rsid w:val="00401303"/>
    <w:rsid w:val="00401DA9"/>
    <w:rsid w:val="00403B33"/>
    <w:rsid w:val="00403F7B"/>
    <w:rsid w:val="004060E2"/>
    <w:rsid w:val="004062C6"/>
    <w:rsid w:val="004065A1"/>
    <w:rsid w:val="004065DF"/>
    <w:rsid w:val="0040719D"/>
    <w:rsid w:val="00407775"/>
    <w:rsid w:val="004077B5"/>
    <w:rsid w:val="004079F6"/>
    <w:rsid w:val="00407A9D"/>
    <w:rsid w:val="004100F2"/>
    <w:rsid w:val="004118C0"/>
    <w:rsid w:val="004124FF"/>
    <w:rsid w:val="00412743"/>
    <w:rsid w:val="004127B3"/>
    <w:rsid w:val="004133DB"/>
    <w:rsid w:val="00413973"/>
    <w:rsid w:val="004139F8"/>
    <w:rsid w:val="00413BB8"/>
    <w:rsid w:val="004148B1"/>
    <w:rsid w:val="004153C6"/>
    <w:rsid w:val="004158BA"/>
    <w:rsid w:val="00415C64"/>
    <w:rsid w:val="00415C7C"/>
    <w:rsid w:val="00416FCE"/>
    <w:rsid w:val="004171EA"/>
    <w:rsid w:val="00417555"/>
    <w:rsid w:val="004179AE"/>
    <w:rsid w:val="0042030E"/>
    <w:rsid w:val="00421F9D"/>
    <w:rsid w:val="004228D4"/>
    <w:rsid w:val="00422C09"/>
    <w:rsid w:val="00423414"/>
    <w:rsid w:val="00423D80"/>
    <w:rsid w:val="00424873"/>
    <w:rsid w:val="00424D87"/>
    <w:rsid w:val="00424E6A"/>
    <w:rsid w:val="00425894"/>
    <w:rsid w:val="00425CF5"/>
    <w:rsid w:val="004260FB"/>
    <w:rsid w:val="004267EA"/>
    <w:rsid w:val="00427806"/>
    <w:rsid w:val="004306C5"/>
    <w:rsid w:val="00431A50"/>
    <w:rsid w:val="00432095"/>
    <w:rsid w:val="0043209D"/>
    <w:rsid w:val="004334CF"/>
    <w:rsid w:val="004341B0"/>
    <w:rsid w:val="004349D6"/>
    <w:rsid w:val="00437A50"/>
    <w:rsid w:val="0044050C"/>
    <w:rsid w:val="00440681"/>
    <w:rsid w:val="00440BB0"/>
    <w:rsid w:val="00440F3A"/>
    <w:rsid w:val="00441464"/>
    <w:rsid w:val="00441A9B"/>
    <w:rsid w:val="00441C95"/>
    <w:rsid w:val="00441CE8"/>
    <w:rsid w:val="004420D2"/>
    <w:rsid w:val="00442583"/>
    <w:rsid w:val="00442A28"/>
    <w:rsid w:val="00443ADD"/>
    <w:rsid w:val="00443B0F"/>
    <w:rsid w:val="00443E73"/>
    <w:rsid w:val="00444C2A"/>
    <w:rsid w:val="00444DD8"/>
    <w:rsid w:val="00445256"/>
    <w:rsid w:val="004471A9"/>
    <w:rsid w:val="0045076A"/>
    <w:rsid w:val="00454C87"/>
    <w:rsid w:val="004552B4"/>
    <w:rsid w:val="00455963"/>
    <w:rsid w:val="00455ED4"/>
    <w:rsid w:val="0045634B"/>
    <w:rsid w:val="00457749"/>
    <w:rsid w:val="00457860"/>
    <w:rsid w:val="00460847"/>
    <w:rsid w:val="00460FF9"/>
    <w:rsid w:val="00461965"/>
    <w:rsid w:val="00462581"/>
    <w:rsid w:val="00462FF3"/>
    <w:rsid w:val="00463833"/>
    <w:rsid w:val="004638DC"/>
    <w:rsid w:val="004641B8"/>
    <w:rsid w:val="00465DE4"/>
    <w:rsid w:val="00465E2C"/>
    <w:rsid w:val="00466562"/>
    <w:rsid w:val="00466B4C"/>
    <w:rsid w:val="00466C2F"/>
    <w:rsid w:val="00466DF0"/>
    <w:rsid w:val="004703DB"/>
    <w:rsid w:val="00470B7E"/>
    <w:rsid w:val="00471D1E"/>
    <w:rsid w:val="00472385"/>
    <w:rsid w:val="004727E1"/>
    <w:rsid w:val="00473309"/>
    <w:rsid w:val="00473886"/>
    <w:rsid w:val="004757BD"/>
    <w:rsid w:val="00475911"/>
    <w:rsid w:val="00475E87"/>
    <w:rsid w:val="004763A7"/>
    <w:rsid w:val="004771C9"/>
    <w:rsid w:val="004776D0"/>
    <w:rsid w:val="00480E46"/>
    <w:rsid w:val="004831E1"/>
    <w:rsid w:val="00483532"/>
    <w:rsid w:val="004836A9"/>
    <w:rsid w:val="00483F28"/>
    <w:rsid w:val="0048470C"/>
    <w:rsid w:val="004848F2"/>
    <w:rsid w:val="00484D22"/>
    <w:rsid w:val="00484EC4"/>
    <w:rsid w:val="004860C3"/>
    <w:rsid w:val="004862D1"/>
    <w:rsid w:val="004862FF"/>
    <w:rsid w:val="00486CB6"/>
    <w:rsid w:val="00487258"/>
    <w:rsid w:val="004903DA"/>
    <w:rsid w:val="00490DC8"/>
    <w:rsid w:val="00490DF3"/>
    <w:rsid w:val="00490F24"/>
    <w:rsid w:val="004913C4"/>
    <w:rsid w:val="00491CA5"/>
    <w:rsid w:val="00492769"/>
    <w:rsid w:val="00493735"/>
    <w:rsid w:val="00494D8B"/>
    <w:rsid w:val="00496DC4"/>
    <w:rsid w:val="00496EA5"/>
    <w:rsid w:val="004978FA"/>
    <w:rsid w:val="00497B0C"/>
    <w:rsid w:val="004A08D6"/>
    <w:rsid w:val="004A12BC"/>
    <w:rsid w:val="004A12F7"/>
    <w:rsid w:val="004A18B6"/>
    <w:rsid w:val="004A193C"/>
    <w:rsid w:val="004A199E"/>
    <w:rsid w:val="004A1EF3"/>
    <w:rsid w:val="004A2120"/>
    <w:rsid w:val="004A2EAF"/>
    <w:rsid w:val="004A3E8E"/>
    <w:rsid w:val="004A4584"/>
    <w:rsid w:val="004A480C"/>
    <w:rsid w:val="004A575C"/>
    <w:rsid w:val="004A58E5"/>
    <w:rsid w:val="004A5DAF"/>
    <w:rsid w:val="004A6205"/>
    <w:rsid w:val="004A6A6B"/>
    <w:rsid w:val="004A6D62"/>
    <w:rsid w:val="004A7E5A"/>
    <w:rsid w:val="004B0D7F"/>
    <w:rsid w:val="004B1576"/>
    <w:rsid w:val="004B2376"/>
    <w:rsid w:val="004B2B4F"/>
    <w:rsid w:val="004B3303"/>
    <w:rsid w:val="004B3C39"/>
    <w:rsid w:val="004B50A1"/>
    <w:rsid w:val="004B5712"/>
    <w:rsid w:val="004B5801"/>
    <w:rsid w:val="004B5C0C"/>
    <w:rsid w:val="004B5F8B"/>
    <w:rsid w:val="004B6E58"/>
    <w:rsid w:val="004B7207"/>
    <w:rsid w:val="004B78FE"/>
    <w:rsid w:val="004C0757"/>
    <w:rsid w:val="004C0D31"/>
    <w:rsid w:val="004C0EA8"/>
    <w:rsid w:val="004C0F50"/>
    <w:rsid w:val="004C11E8"/>
    <w:rsid w:val="004C1FE0"/>
    <w:rsid w:val="004C21DE"/>
    <w:rsid w:val="004C22F1"/>
    <w:rsid w:val="004C251D"/>
    <w:rsid w:val="004C25AA"/>
    <w:rsid w:val="004C33FF"/>
    <w:rsid w:val="004C3FE4"/>
    <w:rsid w:val="004C49D4"/>
    <w:rsid w:val="004C5C98"/>
    <w:rsid w:val="004C6037"/>
    <w:rsid w:val="004C6A18"/>
    <w:rsid w:val="004C734D"/>
    <w:rsid w:val="004C7D2D"/>
    <w:rsid w:val="004D0401"/>
    <w:rsid w:val="004D0BED"/>
    <w:rsid w:val="004D1B61"/>
    <w:rsid w:val="004D4261"/>
    <w:rsid w:val="004D47CB"/>
    <w:rsid w:val="004D5E52"/>
    <w:rsid w:val="004D5F2E"/>
    <w:rsid w:val="004D7265"/>
    <w:rsid w:val="004D7963"/>
    <w:rsid w:val="004E0599"/>
    <w:rsid w:val="004E2E05"/>
    <w:rsid w:val="004E33FF"/>
    <w:rsid w:val="004E34AB"/>
    <w:rsid w:val="004E3E4B"/>
    <w:rsid w:val="004E3E77"/>
    <w:rsid w:val="004E44FC"/>
    <w:rsid w:val="004E4C6E"/>
    <w:rsid w:val="004E5500"/>
    <w:rsid w:val="004E6CBF"/>
    <w:rsid w:val="004F0289"/>
    <w:rsid w:val="004F1FD6"/>
    <w:rsid w:val="004F208B"/>
    <w:rsid w:val="004F3391"/>
    <w:rsid w:val="004F5D55"/>
    <w:rsid w:val="004F6917"/>
    <w:rsid w:val="004F7BB3"/>
    <w:rsid w:val="004F7FF5"/>
    <w:rsid w:val="00500C3C"/>
    <w:rsid w:val="00501F40"/>
    <w:rsid w:val="005023F2"/>
    <w:rsid w:val="005042D6"/>
    <w:rsid w:val="00504502"/>
    <w:rsid w:val="00504F4A"/>
    <w:rsid w:val="00505AEF"/>
    <w:rsid w:val="00506855"/>
    <w:rsid w:val="00506C72"/>
    <w:rsid w:val="00506E4E"/>
    <w:rsid w:val="005070E9"/>
    <w:rsid w:val="00510454"/>
    <w:rsid w:val="005105F4"/>
    <w:rsid w:val="00510A40"/>
    <w:rsid w:val="00510F50"/>
    <w:rsid w:val="00511568"/>
    <w:rsid w:val="00511F0E"/>
    <w:rsid w:val="00512106"/>
    <w:rsid w:val="005138DA"/>
    <w:rsid w:val="005144D5"/>
    <w:rsid w:val="00514D57"/>
    <w:rsid w:val="00514EE8"/>
    <w:rsid w:val="0051542F"/>
    <w:rsid w:val="005154FA"/>
    <w:rsid w:val="005165BE"/>
    <w:rsid w:val="00517790"/>
    <w:rsid w:val="005177F8"/>
    <w:rsid w:val="0052089F"/>
    <w:rsid w:val="0052093F"/>
    <w:rsid w:val="00520C20"/>
    <w:rsid w:val="00520EC9"/>
    <w:rsid w:val="00521D78"/>
    <w:rsid w:val="005220D1"/>
    <w:rsid w:val="00523D43"/>
    <w:rsid w:val="00525028"/>
    <w:rsid w:val="0052576D"/>
    <w:rsid w:val="005265D8"/>
    <w:rsid w:val="0052691E"/>
    <w:rsid w:val="00526E2E"/>
    <w:rsid w:val="00530B56"/>
    <w:rsid w:val="005310EC"/>
    <w:rsid w:val="00531362"/>
    <w:rsid w:val="00531E1E"/>
    <w:rsid w:val="005327C0"/>
    <w:rsid w:val="00532987"/>
    <w:rsid w:val="005329D0"/>
    <w:rsid w:val="0053315F"/>
    <w:rsid w:val="0053489E"/>
    <w:rsid w:val="0053525C"/>
    <w:rsid w:val="00536943"/>
    <w:rsid w:val="005372BD"/>
    <w:rsid w:val="0053766E"/>
    <w:rsid w:val="0053775E"/>
    <w:rsid w:val="00537897"/>
    <w:rsid w:val="00540466"/>
    <w:rsid w:val="00541131"/>
    <w:rsid w:val="005416BE"/>
    <w:rsid w:val="00541E0A"/>
    <w:rsid w:val="00542293"/>
    <w:rsid w:val="0054347A"/>
    <w:rsid w:val="0054397E"/>
    <w:rsid w:val="0054465A"/>
    <w:rsid w:val="00544F6B"/>
    <w:rsid w:val="00545B14"/>
    <w:rsid w:val="00546BCA"/>
    <w:rsid w:val="00546EEC"/>
    <w:rsid w:val="005474E4"/>
    <w:rsid w:val="00547AE5"/>
    <w:rsid w:val="00547BE1"/>
    <w:rsid w:val="00550754"/>
    <w:rsid w:val="0055113C"/>
    <w:rsid w:val="005514AA"/>
    <w:rsid w:val="00551E7A"/>
    <w:rsid w:val="00552B56"/>
    <w:rsid w:val="005530FE"/>
    <w:rsid w:val="005547BB"/>
    <w:rsid w:val="0055531A"/>
    <w:rsid w:val="005555A8"/>
    <w:rsid w:val="0055641E"/>
    <w:rsid w:val="00560338"/>
    <w:rsid w:val="005603FE"/>
    <w:rsid w:val="00560855"/>
    <w:rsid w:val="00560FA5"/>
    <w:rsid w:val="00561A76"/>
    <w:rsid w:val="00563038"/>
    <w:rsid w:val="00563D5A"/>
    <w:rsid w:val="0056436F"/>
    <w:rsid w:val="00564616"/>
    <w:rsid w:val="00565CE6"/>
    <w:rsid w:val="00565CEF"/>
    <w:rsid w:val="00567322"/>
    <w:rsid w:val="005677A2"/>
    <w:rsid w:val="00570254"/>
    <w:rsid w:val="005706D4"/>
    <w:rsid w:val="005711B6"/>
    <w:rsid w:val="0057139B"/>
    <w:rsid w:val="005713A3"/>
    <w:rsid w:val="00571A4C"/>
    <w:rsid w:val="00571EC4"/>
    <w:rsid w:val="00572072"/>
    <w:rsid w:val="005726DB"/>
    <w:rsid w:val="00572838"/>
    <w:rsid w:val="00573AC4"/>
    <w:rsid w:val="005741B5"/>
    <w:rsid w:val="0057792F"/>
    <w:rsid w:val="00580A4B"/>
    <w:rsid w:val="005811E6"/>
    <w:rsid w:val="005842B0"/>
    <w:rsid w:val="00584305"/>
    <w:rsid w:val="00586E8D"/>
    <w:rsid w:val="0059009B"/>
    <w:rsid w:val="00593135"/>
    <w:rsid w:val="005938B6"/>
    <w:rsid w:val="005938D0"/>
    <w:rsid w:val="005941E4"/>
    <w:rsid w:val="00594691"/>
    <w:rsid w:val="00595AA0"/>
    <w:rsid w:val="005965BA"/>
    <w:rsid w:val="00596BE8"/>
    <w:rsid w:val="0059702D"/>
    <w:rsid w:val="005A0C75"/>
    <w:rsid w:val="005A101D"/>
    <w:rsid w:val="005A136C"/>
    <w:rsid w:val="005A19BE"/>
    <w:rsid w:val="005A1FC7"/>
    <w:rsid w:val="005A292E"/>
    <w:rsid w:val="005A2EF2"/>
    <w:rsid w:val="005A38C0"/>
    <w:rsid w:val="005A3944"/>
    <w:rsid w:val="005A4BA9"/>
    <w:rsid w:val="005A5D88"/>
    <w:rsid w:val="005A6E95"/>
    <w:rsid w:val="005A7123"/>
    <w:rsid w:val="005A7B70"/>
    <w:rsid w:val="005B01E6"/>
    <w:rsid w:val="005B1A34"/>
    <w:rsid w:val="005B1D6B"/>
    <w:rsid w:val="005B2330"/>
    <w:rsid w:val="005B2D0A"/>
    <w:rsid w:val="005B2DB4"/>
    <w:rsid w:val="005B3E19"/>
    <w:rsid w:val="005B43BA"/>
    <w:rsid w:val="005B44CF"/>
    <w:rsid w:val="005B450E"/>
    <w:rsid w:val="005B4851"/>
    <w:rsid w:val="005B512A"/>
    <w:rsid w:val="005B5173"/>
    <w:rsid w:val="005B5A60"/>
    <w:rsid w:val="005B5D66"/>
    <w:rsid w:val="005B5F4D"/>
    <w:rsid w:val="005B5FA3"/>
    <w:rsid w:val="005B7164"/>
    <w:rsid w:val="005B72AA"/>
    <w:rsid w:val="005C2F14"/>
    <w:rsid w:val="005C3F92"/>
    <w:rsid w:val="005C46C8"/>
    <w:rsid w:val="005C5897"/>
    <w:rsid w:val="005C5D06"/>
    <w:rsid w:val="005C5EF6"/>
    <w:rsid w:val="005C616A"/>
    <w:rsid w:val="005C73E3"/>
    <w:rsid w:val="005C755C"/>
    <w:rsid w:val="005D059A"/>
    <w:rsid w:val="005D073D"/>
    <w:rsid w:val="005D0EC1"/>
    <w:rsid w:val="005D1BD5"/>
    <w:rsid w:val="005D1E3D"/>
    <w:rsid w:val="005D38F5"/>
    <w:rsid w:val="005D491E"/>
    <w:rsid w:val="005D5333"/>
    <w:rsid w:val="005D62BB"/>
    <w:rsid w:val="005D66E7"/>
    <w:rsid w:val="005D6C08"/>
    <w:rsid w:val="005D773C"/>
    <w:rsid w:val="005E00A5"/>
    <w:rsid w:val="005E041A"/>
    <w:rsid w:val="005E0FA4"/>
    <w:rsid w:val="005E153E"/>
    <w:rsid w:val="005E26E3"/>
    <w:rsid w:val="005E2728"/>
    <w:rsid w:val="005E2906"/>
    <w:rsid w:val="005E31DE"/>
    <w:rsid w:val="005E3A09"/>
    <w:rsid w:val="005E3ABD"/>
    <w:rsid w:val="005E6052"/>
    <w:rsid w:val="005E66A1"/>
    <w:rsid w:val="005E6BBD"/>
    <w:rsid w:val="005E6D05"/>
    <w:rsid w:val="005E75E3"/>
    <w:rsid w:val="005F053A"/>
    <w:rsid w:val="005F16AB"/>
    <w:rsid w:val="005F1C10"/>
    <w:rsid w:val="005F2AF2"/>
    <w:rsid w:val="005F3072"/>
    <w:rsid w:val="005F3489"/>
    <w:rsid w:val="005F38CD"/>
    <w:rsid w:val="005F4B86"/>
    <w:rsid w:val="005F57C6"/>
    <w:rsid w:val="005F5B68"/>
    <w:rsid w:val="005F65C9"/>
    <w:rsid w:val="005F6809"/>
    <w:rsid w:val="005F6DCC"/>
    <w:rsid w:val="005F70C0"/>
    <w:rsid w:val="006016A2"/>
    <w:rsid w:val="0060284E"/>
    <w:rsid w:val="0060330E"/>
    <w:rsid w:val="0060343D"/>
    <w:rsid w:val="00603504"/>
    <w:rsid w:val="006038C4"/>
    <w:rsid w:val="00604713"/>
    <w:rsid w:val="006066F7"/>
    <w:rsid w:val="00606B9A"/>
    <w:rsid w:val="006114BF"/>
    <w:rsid w:val="0061248D"/>
    <w:rsid w:val="006125D3"/>
    <w:rsid w:val="0061273B"/>
    <w:rsid w:val="00612C4C"/>
    <w:rsid w:val="0061305D"/>
    <w:rsid w:val="006133CD"/>
    <w:rsid w:val="00613ED0"/>
    <w:rsid w:val="00614A83"/>
    <w:rsid w:val="00614A8E"/>
    <w:rsid w:val="00615A5F"/>
    <w:rsid w:val="0061659F"/>
    <w:rsid w:val="006174DD"/>
    <w:rsid w:val="00617F81"/>
    <w:rsid w:val="00620684"/>
    <w:rsid w:val="006206B6"/>
    <w:rsid w:val="00620CA5"/>
    <w:rsid w:val="00620DBB"/>
    <w:rsid w:val="006227D5"/>
    <w:rsid w:val="00622860"/>
    <w:rsid w:val="0062345A"/>
    <w:rsid w:val="00623D36"/>
    <w:rsid w:val="006251A1"/>
    <w:rsid w:val="0062542D"/>
    <w:rsid w:val="0062586F"/>
    <w:rsid w:val="00625CB1"/>
    <w:rsid w:val="006261B9"/>
    <w:rsid w:val="006269A3"/>
    <w:rsid w:val="00627B0D"/>
    <w:rsid w:val="0063007E"/>
    <w:rsid w:val="00630292"/>
    <w:rsid w:val="00630B0F"/>
    <w:rsid w:val="00630C18"/>
    <w:rsid w:val="006310F7"/>
    <w:rsid w:val="006311E4"/>
    <w:rsid w:val="006315A3"/>
    <w:rsid w:val="00631AF8"/>
    <w:rsid w:val="006328E9"/>
    <w:rsid w:val="00632A0C"/>
    <w:rsid w:val="006335B9"/>
    <w:rsid w:val="00633BE7"/>
    <w:rsid w:val="00634A6C"/>
    <w:rsid w:val="00634FDB"/>
    <w:rsid w:val="00635185"/>
    <w:rsid w:val="006367C7"/>
    <w:rsid w:val="006368A7"/>
    <w:rsid w:val="006372DC"/>
    <w:rsid w:val="0063755B"/>
    <w:rsid w:val="00637BEA"/>
    <w:rsid w:val="00640563"/>
    <w:rsid w:val="00641E86"/>
    <w:rsid w:val="00642AC1"/>
    <w:rsid w:val="00642E2E"/>
    <w:rsid w:val="006432CA"/>
    <w:rsid w:val="00643374"/>
    <w:rsid w:val="00643713"/>
    <w:rsid w:val="00645AC1"/>
    <w:rsid w:val="00645B82"/>
    <w:rsid w:val="00646851"/>
    <w:rsid w:val="00646ED5"/>
    <w:rsid w:val="006474B3"/>
    <w:rsid w:val="0064766A"/>
    <w:rsid w:val="00647BB2"/>
    <w:rsid w:val="00647EE9"/>
    <w:rsid w:val="00651084"/>
    <w:rsid w:val="0065135E"/>
    <w:rsid w:val="00651E47"/>
    <w:rsid w:val="00653AF6"/>
    <w:rsid w:val="00654502"/>
    <w:rsid w:val="006549F3"/>
    <w:rsid w:val="00655512"/>
    <w:rsid w:val="006560C1"/>
    <w:rsid w:val="0065659D"/>
    <w:rsid w:val="00656805"/>
    <w:rsid w:val="006570F4"/>
    <w:rsid w:val="0065779C"/>
    <w:rsid w:val="00660C4D"/>
    <w:rsid w:val="0066115A"/>
    <w:rsid w:val="0066172B"/>
    <w:rsid w:val="0066182A"/>
    <w:rsid w:val="006620E5"/>
    <w:rsid w:val="00662536"/>
    <w:rsid w:val="006642AF"/>
    <w:rsid w:val="00665268"/>
    <w:rsid w:val="0066545B"/>
    <w:rsid w:val="00665A85"/>
    <w:rsid w:val="00665E3F"/>
    <w:rsid w:val="00665EF6"/>
    <w:rsid w:val="00667E4A"/>
    <w:rsid w:val="00671F26"/>
    <w:rsid w:val="00671F73"/>
    <w:rsid w:val="00672801"/>
    <w:rsid w:val="00673067"/>
    <w:rsid w:val="006747CE"/>
    <w:rsid w:val="0067489F"/>
    <w:rsid w:val="0067496C"/>
    <w:rsid w:val="00675234"/>
    <w:rsid w:val="00675908"/>
    <w:rsid w:val="00675AA9"/>
    <w:rsid w:val="00675F93"/>
    <w:rsid w:val="0067609C"/>
    <w:rsid w:val="00676549"/>
    <w:rsid w:val="00676700"/>
    <w:rsid w:val="00677B79"/>
    <w:rsid w:val="00677BF6"/>
    <w:rsid w:val="006800C8"/>
    <w:rsid w:val="006807E4"/>
    <w:rsid w:val="00680826"/>
    <w:rsid w:val="00680849"/>
    <w:rsid w:val="00680A08"/>
    <w:rsid w:val="00680B5C"/>
    <w:rsid w:val="00682016"/>
    <w:rsid w:val="00682265"/>
    <w:rsid w:val="0068247D"/>
    <w:rsid w:val="00682D4D"/>
    <w:rsid w:val="00683B23"/>
    <w:rsid w:val="00684953"/>
    <w:rsid w:val="00684D5B"/>
    <w:rsid w:val="00685F36"/>
    <w:rsid w:val="00687007"/>
    <w:rsid w:val="006876FF"/>
    <w:rsid w:val="00690459"/>
    <w:rsid w:val="00690C1E"/>
    <w:rsid w:val="0069270D"/>
    <w:rsid w:val="00692932"/>
    <w:rsid w:val="00692B50"/>
    <w:rsid w:val="0069325C"/>
    <w:rsid w:val="0069581D"/>
    <w:rsid w:val="00695C13"/>
    <w:rsid w:val="0069613C"/>
    <w:rsid w:val="006969BF"/>
    <w:rsid w:val="0069709D"/>
    <w:rsid w:val="00697A31"/>
    <w:rsid w:val="006A02A9"/>
    <w:rsid w:val="006A07DC"/>
    <w:rsid w:val="006A1D08"/>
    <w:rsid w:val="006A1ED3"/>
    <w:rsid w:val="006A28D3"/>
    <w:rsid w:val="006A39D7"/>
    <w:rsid w:val="006A3C97"/>
    <w:rsid w:val="006A3E1B"/>
    <w:rsid w:val="006A44F2"/>
    <w:rsid w:val="006A4C17"/>
    <w:rsid w:val="006A5215"/>
    <w:rsid w:val="006A6885"/>
    <w:rsid w:val="006A6912"/>
    <w:rsid w:val="006A735D"/>
    <w:rsid w:val="006B10B0"/>
    <w:rsid w:val="006B1307"/>
    <w:rsid w:val="006B23D5"/>
    <w:rsid w:val="006B407E"/>
    <w:rsid w:val="006B4769"/>
    <w:rsid w:val="006B4DFC"/>
    <w:rsid w:val="006B51FE"/>
    <w:rsid w:val="006B59D6"/>
    <w:rsid w:val="006B5C4F"/>
    <w:rsid w:val="006B60CC"/>
    <w:rsid w:val="006B6458"/>
    <w:rsid w:val="006B676A"/>
    <w:rsid w:val="006B6D8E"/>
    <w:rsid w:val="006B6F88"/>
    <w:rsid w:val="006B70B1"/>
    <w:rsid w:val="006B7424"/>
    <w:rsid w:val="006B758E"/>
    <w:rsid w:val="006B7854"/>
    <w:rsid w:val="006B78C4"/>
    <w:rsid w:val="006B7993"/>
    <w:rsid w:val="006B7DC9"/>
    <w:rsid w:val="006C14BC"/>
    <w:rsid w:val="006C1E14"/>
    <w:rsid w:val="006C26BE"/>
    <w:rsid w:val="006C301B"/>
    <w:rsid w:val="006C3D19"/>
    <w:rsid w:val="006C4756"/>
    <w:rsid w:val="006C4CF7"/>
    <w:rsid w:val="006C5481"/>
    <w:rsid w:val="006C639B"/>
    <w:rsid w:val="006C7DB9"/>
    <w:rsid w:val="006D0216"/>
    <w:rsid w:val="006D10E7"/>
    <w:rsid w:val="006D1434"/>
    <w:rsid w:val="006D207D"/>
    <w:rsid w:val="006D2864"/>
    <w:rsid w:val="006D41E3"/>
    <w:rsid w:val="006D440E"/>
    <w:rsid w:val="006D480F"/>
    <w:rsid w:val="006D64AC"/>
    <w:rsid w:val="006D6A2D"/>
    <w:rsid w:val="006D72CF"/>
    <w:rsid w:val="006D7EE1"/>
    <w:rsid w:val="006E0201"/>
    <w:rsid w:val="006E1FBF"/>
    <w:rsid w:val="006E3D98"/>
    <w:rsid w:val="006E4A82"/>
    <w:rsid w:val="006E5706"/>
    <w:rsid w:val="006E5E97"/>
    <w:rsid w:val="006E6027"/>
    <w:rsid w:val="006E62C3"/>
    <w:rsid w:val="006F003C"/>
    <w:rsid w:val="006F02B5"/>
    <w:rsid w:val="006F0615"/>
    <w:rsid w:val="006F0B95"/>
    <w:rsid w:val="006F12B9"/>
    <w:rsid w:val="006F24B1"/>
    <w:rsid w:val="006F26A8"/>
    <w:rsid w:val="006F3680"/>
    <w:rsid w:val="006F377C"/>
    <w:rsid w:val="006F4259"/>
    <w:rsid w:val="006F5BFC"/>
    <w:rsid w:val="006F5DFA"/>
    <w:rsid w:val="006F5EA5"/>
    <w:rsid w:val="006F5EF6"/>
    <w:rsid w:val="00700674"/>
    <w:rsid w:val="00700760"/>
    <w:rsid w:val="00700DB1"/>
    <w:rsid w:val="00701235"/>
    <w:rsid w:val="00701600"/>
    <w:rsid w:val="00701D75"/>
    <w:rsid w:val="00702027"/>
    <w:rsid w:val="0070208C"/>
    <w:rsid w:val="00702BFF"/>
    <w:rsid w:val="007032C1"/>
    <w:rsid w:val="007033E8"/>
    <w:rsid w:val="007035E5"/>
    <w:rsid w:val="00704BCB"/>
    <w:rsid w:val="007063F8"/>
    <w:rsid w:val="0070641F"/>
    <w:rsid w:val="0070721B"/>
    <w:rsid w:val="00707E36"/>
    <w:rsid w:val="007101D1"/>
    <w:rsid w:val="00711C05"/>
    <w:rsid w:val="00711DFB"/>
    <w:rsid w:val="00712D60"/>
    <w:rsid w:val="0071320D"/>
    <w:rsid w:val="00715903"/>
    <w:rsid w:val="00715977"/>
    <w:rsid w:val="00715BC7"/>
    <w:rsid w:val="00715BFE"/>
    <w:rsid w:val="007170D3"/>
    <w:rsid w:val="00722405"/>
    <w:rsid w:val="0072251B"/>
    <w:rsid w:val="00722A13"/>
    <w:rsid w:val="00723C0F"/>
    <w:rsid w:val="007241F8"/>
    <w:rsid w:val="007248C3"/>
    <w:rsid w:val="0072676E"/>
    <w:rsid w:val="00726993"/>
    <w:rsid w:val="00727D8C"/>
    <w:rsid w:val="007300AF"/>
    <w:rsid w:val="00731A0A"/>
    <w:rsid w:val="00731E0F"/>
    <w:rsid w:val="00732E5C"/>
    <w:rsid w:val="00733323"/>
    <w:rsid w:val="007334CC"/>
    <w:rsid w:val="007339C0"/>
    <w:rsid w:val="007339D5"/>
    <w:rsid w:val="00735013"/>
    <w:rsid w:val="00740088"/>
    <w:rsid w:val="00740307"/>
    <w:rsid w:val="00741E07"/>
    <w:rsid w:val="00742CF5"/>
    <w:rsid w:val="007431A1"/>
    <w:rsid w:val="0074345F"/>
    <w:rsid w:val="00743B42"/>
    <w:rsid w:val="0074458C"/>
    <w:rsid w:val="00744A1B"/>
    <w:rsid w:val="00744F8E"/>
    <w:rsid w:val="007458EB"/>
    <w:rsid w:val="00745BAA"/>
    <w:rsid w:val="00745BBA"/>
    <w:rsid w:val="00745C70"/>
    <w:rsid w:val="007468D3"/>
    <w:rsid w:val="0074690F"/>
    <w:rsid w:val="00746DAF"/>
    <w:rsid w:val="0074761C"/>
    <w:rsid w:val="0075063E"/>
    <w:rsid w:val="00751061"/>
    <w:rsid w:val="00751799"/>
    <w:rsid w:val="007518E0"/>
    <w:rsid w:val="00751AF9"/>
    <w:rsid w:val="00751D9F"/>
    <w:rsid w:val="007528C1"/>
    <w:rsid w:val="007530B2"/>
    <w:rsid w:val="007532B7"/>
    <w:rsid w:val="00755150"/>
    <w:rsid w:val="00755163"/>
    <w:rsid w:val="00757510"/>
    <w:rsid w:val="007578D3"/>
    <w:rsid w:val="00757A5D"/>
    <w:rsid w:val="00760EB8"/>
    <w:rsid w:val="00761683"/>
    <w:rsid w:val="00762E0B"/>
    <w:rsid w:val="00763411"/>
    <w:rsid w:val="007640ED"/>
    <w:rsid w:val="007647DF"/>
    <w:rsid w:val="007650BB"/>
    <w:rsid w:val="00765144"/>
    <w:rsid w:val="00765272"/>
    <w:rsid w:val="007657C4"/>
    <w:rsid w:val="0076639A"/>
    <w:rsid w:val="00766EFF"/>
    <w:rsid w:val="00767242"/>
    <w:rsid w:val="00770068"/>
    <w:rsid w:val="00770240"/>
    <w:rsid w:val="00771815"/>
    <w:rsid w:val="00771E27"/>
    <w:rsid w:val="0077258D"/>
    <w:rsid w:val="00772845"/>
    <w:rsid w:val="00773004"/>
    <w:rsid w:val="00773619"/>
    <w:rsid w:val="007738CE"/>
    <w:rsid w:val="00773B83"/>
    <w:rsid w:val="00774063"/>
    <w:rsid w:val="0077408A"/>
    <w:rsid w:val="0077431F"/>
    <w:rsid w:val="00774E79"/>
    <w:rsid w:val="00776019"/>
    <w:rsid w:val="00777597"/>
    <w:rsid w:val="00777662"/>
    <w:rsid w:val="00777DEA"/>
    <w:rsid w:val="00780C76"/>
    <w:rsid w:val="007821C3"/>
    <w:rsid w:val="00782936"/>
    <w:rsid w:val="0078325D"/>
    <w:rsid w:val="0078328D"/>
    <w:rsid w:val="00783513"/>
    <w:rsid w:val="007836EF"/>
    <w:rsid w:val="00783B52"/>
    <w:rsid w:val="00784BD2"/>
    <w:rsid w:val="007850DC"/>
    <w:rsid w:val="00785485"/>
    <w:rsid w:val="00785A71"/>
    <w:rsid w:val="0078601C"/>
    <w:rsid w:val="007867DC"/>
    <w:rsid w:val="00786F5A"/>
    <w:rsid w:val="007870E8"/>
    <w:rsid w:val="00787EA2"/>
    <w:rsid w:val="0079015D"/>
    <w:rsid w:val="007924B2"/>
    <w:rsid w:val="007930F3"/>
    <w:rsid w:val="00793284"/>
    <w:rsid w:val="00793A6D"/>
    <w:rsid w:val="00794FA9"/>
    <w:rsid w:val="00795141"/>
    <w:rsid w:val="00795804"/>
    <w:rsid w:val="00795886"/>
    <w:rsid w:val="007966C8"/>
    <w:rsid w:val="00796AB8"/>
    <w:rsid w:val="00796AFC"/>
    <w:rsid w:val="007971C7"/>
    <w:rsid w:val="0079740C"/>
    <w:rsid w:val="0079741A"/>
    <w:rsid w:val="00797C49"/>
    <w:rsid w:val="007A1392"/>
    <w:rsid w:val="007A26E7"/>
    <w:rsid w:val="007A33D0"/>
    <w:rsid w:val="007A3825"/>
    <w:rsid w:val="007A4DC8"/>
    <w:rsid w:val="007A533D"/>
    <w:rsid w:val="007A56BE"/>
    <w:rsid w:val="007A5896"/>
    <w:rsid w:val="007A5DB1"/>
    <w:rsid w:val="007A5DBA"/>
    <w:rsid w:val="007A62E1"/>
    <w:rsid w:val="007A62E5"/>
    <w:rsid w:val="007A65C5"/>
    <w:rsid w:val="007A6755"/>
    <w:rsid w:val="007A68BC"/>
    <w:rsid w:val="007A6A67"/>
    <w:rsid w:val="007A6F87"/>
    <w:rsid w:val="007A7992"/>
    <w:rsid w:val="007B0299"/>
    <w:rsid w:val="007B07C6"/>
    <w:rsid w:val="007B0ABB"/>
    <w:rsid w:val="007B1136"/>
    <w:rsid w:val="007B13C8"/>
    <w:rsid w:val="007B1AD5"/>
    <w:rsid w:val="007B1B5F"/>
    <w:rsid w:val="007B231E"/>
    <w:rsid w:val="007B2465"/>
    <w:rsid w:val="007B24B7"/>
    <w:rsid w:val="007B2A91"/>
    <w:rsid w:val="007B50F2"/>
    <w:rsid w:val="007B57E5"/>
    <w:rsid w:val="007B5BA1"/>
    <w:rsid w:val="007B5F3E"/>
    <w:rsid w:val="007B635B"/>
    <w:rsid w:val="007B7777"/>
    <w:rsid w:val="007C0D38"/>
    <w:rsid w:val="007C1502"/>
    <w:rsid w:val="007C1C36"/>
    <w:rsid w:val="007C22EC"/>
    <w:rsid w:val="007C2611"/>
    <w:rsid w:val="007C31C7"/>
    <w:rsid w:val="007C5D4B"/>
    <w:rsid w:val="007C5EF4"/>
    <w:rsid w:val="007D1A87"/>
    <w:rsid w:val="007D1B66"/>
    <w:rsid w:val="007D1F77"/>
    <w:rsid w:val="007D26B2"/>
    <w:rsid w:val="007D2A96"/>
    <w:rsid w:val="007D3172"/>
    <w:rsid w:val="007D3C34"/>
    <w:rsid w:val="007D4066"/>
    <w:rsid w:val="007D49D2"/>
    <w:rsid w:val="007D4C9F"/>
    <w:rsid w:val="007D504D"/>
    <w:rsid w:val="007D51FE"/>
    <w:rsid w:val="007D54FE"/>
    <w:rsid w:val="007D5662"/>
    <w:rsid w:val="007D5759"/>
    <w:rsid w:val="007D5859"/>
    <w:rsid w:val="007D590A"/>
    <w:rsid w:val="007D5A39"/>
    <w:rsid w:val="007D5C53"/>
    <w:rsid w:val="007D7BEB"/>
    <w:rsid w:val="007E0234"/>
    <w:rsid w:val="007E1829"/>
    <w:rsid w:val="007E323C"/>
    <w:rsid w:val="007E37AE"/>
    <w:rsid w:val="007E37FE"/>
    <w:rsid w:val="007E4490"/>
    <w:rsid w:val="007E53F3"/>
    <w:rsid w:val="007E646C"/>
    <w:rsid w:val="007E69FA"/>
    <w:rsid w:val="007E6D40"/>
    <w:rsid w:val="007E7760"/>
    <w:rsid w:val="007F0365"/>
    <w:rsid w:val="007F0F81"/>
    <w:rsid w:val="007F28D2"/>
    <w:rsid w:val="007F2F87"/>
    <w:rsid w:val="007F388F"/>
    <w:rsid w:val="007F5C82"/>
    <w:rsid w:val="007F605E"/>
    <w:rsid w:val="007F6671"/>
    <w:rsid w:val="007F73C9"/>
    <w:rsid w:val="007F7586"/>
    <w:rsid w:val="00800079"/>
    <w:rsid w:val="00802D94"/>
    <w:rsid w:val="00804776"/>
    <w:rsid w:val="00804AE8"/>
    <w:rsid w:val="0080589B"/>
    <w:rsid w:val="0080649E"/>
    <w:rsid w:val="00807264"/>
    <w:rsid w:val="008078FE"/>
    <w:rsid w:val="00810BEB"/>
    <w:rsid w:val="00810CE0"/>
    <w:rsid w:val="008117E4"/>
    <w:rsid w:val="00811937"/>
    <w:rsid w:val="00813505"/>
    <w:rsid w:val="008143C3"/>
    <w:rsid w:val="00814416"/>
    <w:rsid w:val="008162F1"/>
    <w:rsid w:val="00816572"/>
    <w:rsid w:val="00817B60"/>
    <w:rsid w:val="008203A9"/>
    <w:rsid w:val="00820B38"/>
    <w:rsid w:val="0082158F"/>
    <w:rsid w:val="00822AD3"/>
    <w:rsid w:val="0082325C"/>
    <w:rsid w:val="00823483"/>
    <w:rsid w:val="008253BC"/>
    <w:rsid w:val="0082557F"/>
    <w:rsid w:val="00825911"/>
    <w:rsid w:val="00825CD9"/>
    <w:rsid w:val="00826324"/>
    <w:rsid w:val="00826CDD"/>
    <w:rsid w:val="00826F81"/>
    <w:rsid w:val="0082734A"/>
    <w:rsid w:val="008304CC"/>
    <w:rsid w:val="00830709"/>
    <w:rsid w:val="008309CD"/>
    <w:rsid w:val="00831187"/>
    <w:rsid w:val="00831E83"/>
    <w:rsid w:val="00832902"/>
    <w:rsid w:val="008329C4"/>
    <w:rsid w:val="008330B0"/>
    <w:rsid w:val="00833128"/>
    <w:rsid w:val="00834725"/>
    <w:rsid w:val="00834ADD"/>
    <w:rsid w:val="00834EFA"/>
    <w:rsid w:val="00836077"/>
    <w:rsid w:val="008362CD"/>
    <w:rsid w:val="00837254"/>
    <w:rsid w:val="00837685"/>
    <w:rsid w:val="0083775B"/>
    <w:rsid w:val="00837ABF"/>
    <w:rsid w:val="00840228"/>
    <w:rsid w:val="00842ECC"/>
    <w:rsid w:val="00843DF1"/>
    <w:rsid w:val="008447D5"/>
    <w:rsid w:val="0084493C"/>
    <w:rsid w:val="00845C1B"/>
    <w:rsid w:val="00846408"/>
    <w:rsid w:val="00846D39"/>
    <w:rsid w:val="00847FD0"/>
    <w:rsid w:val="00850A5E"/>
    <w:rsid w:val="0085158D"/>
    <w:rsid w:val="00851663"/>
    <w:rsid w:val="00852FAF"/>
    <w:rsid w:val="00852FED"/>
    <w:rsid w:val="00853323"/>
    <w:rsid w:val="00853AD0"/>
    <w:rsid w:val="00853C4C"/>
    <w:rsid w:val="00853F6F"/>
    <w:rsid w:val="008542DE"/>
    <w:rsid w:val="008543F5"/>
    <w:rsid w:val="00855210"/>
    <w:rsid w:val="008553DC"/>
    <w:rsid w:val="00855BB4"/>
    <w:rsid w:val="00855D48"/>
    <w:rsid w:val="008572D4"/>
    <w:rsid w:val="0085765A"/>
    <w:rsid w:val="00857C6A"/>
    <w:rsid w:val="00860218"/>
    <w:rsid w:val="00861564"/>
    <w:rsid w:val="00861ED3"/>
    <w:rsid w:val="008626E0"/>
    <w:rsid w:val="00862D6E"/>
    <w:rsid w:val="00863E30"/>
    <w:rsid w:val="00864B29"/>
    <w:rsid w:val="00864FC3"/>
    <w:rsid w:val="00865C71"/>
    <w:rsid w:val="0086634C"/>
    <w:rsid w:val="00866BEE"/>
    <w:rsid w:val="008720F3"/>
    <w:rsid w:val="00872B91"/>
    <w:rsid w:val="0087317F"/>
    <w:rsid w:val="00874122"/>
    <w:rsid w:val="00875CCE"/>
    <w:rsid w:val="0087623A"/>
    <w:rsid w:val="0087641B"/>
    <w:rsid w:val="00876468"/>
    <w:rsid w:val="00877CD1"/>
    <w:rsid w:val="00877DEC"/>
    <w:rsid w:val="00881294"/>
    <w:rsid w:val="0088146F"/>
    <w:rsid w:val="00881927"/>
    <w:rsid w:val="00881FA2"/>
    <w:rsid w:val="00882358"/>
    <w:rsid w:val="008830DA"/>
    <w:rsid w:val="00883D59"/>
    <w:rsid w:val="008846C7"/>
    <w:rsid w:val="00884C7E"/>
    <w:rsid w:val="0088571E"/>
    <w:rsid w:val="00885DAC"/>
    <w:rsid w:val="008862FE"/>
    <w:rsid w:val="00886CCA"/>
    <w:rsid w:val="00887315"/>
    <w:rsid w:val="00890B53"/>
    <w:rsid w:val="0089100B"/>
    <w:rsid w:val="008911F9"/>
    <w:rsid w:val="008915A8"/>
    <w:rsid w:val="00892092"/>
    <w:rsid w:val="00892F5C"/>
    <w:rsid w:val="00892FC8"/>
    <w:rsid w:val="00893628"/>
    <w:rsid w:val="00893B7B"/>
    <w:rsid w:val="00893C53"/>
    <w:rsid w:val="00895149"/>
    <w:rsid w:val="0089551D"/>
    <w:rsid w:val="00897A2E"/>
    <w:rsid w:val="008A351D"/>
    <w:rsid w:val="008A4449"/>
    <w:rsid w:val="008A4E91"/>
    <w:rsid w:val="008A4FA3"/>
    <w:rsid w:val="008A5880"/>
    <w:rsid w:val="008A5ACF"/>
    <w:rsid w:val="008A5DFF"/>
    <w:rsid w:val="008A5E51"/>
    <w:rsid w:val="008A67B6"/>
    <w:rsid w:val="008A78BA"/>
    <w:rsid w:val="008B0530"/>
    <w:rsid w:val="008B1237"/>
    <w:rsid w:val="008B13E1"/>
    <w:rsid w:val="008B165E"/>
    <w:rsid w:val="008B1FF1"/>
    <w:rsid w:val="008B26B0"/>
    <w:rsid w:val="008B2794"/>
    <w:rsid w:val="008B3225"/>
    <w:rsid w:val="008B36F7"/>
    <w:rsid w:val="008B4013"/>
    <w:rsid w:val="008B45E9"/>
    <w:rsid w:val="008B52D1"/>
    <w:rsid w:val="008B733A"/>
    <w:rsid w:val="008B763C"/>
    <w:rsid w:val="008B7856"/>
    <w:rsid w:val="008B7D68"/>
    <w:rsid w:val="008C0218"/>
    <w:rsid w:val="008C07E1"/>
    <w:rsid w:val="008C158B"/>
    <w:rsid w:val="008C3824"/>
    <w:rsid w:val="008C4240"/>
    <w:rsid w:val="008C46CB"/>
    <w:rsid w:val="008C5DDF"/>
    <w:rsid w:val="008C6330"/>
    <w:rsid w:val="008C653F"/>
    <w:rsid w:val="008C683D"/>
    <w:rsid w:val="008C6C41"/>
    <w:rsid w:val="008C722E"/>
    <w:rsid w:val="008D1123"/>
    <w:rsid w:val="008D1A9E"/>
    <w:rsid w:val="008D2337"/>
    <w:rsid w:val="008D2BE1"/>
    <w:rsid w:val="008D315E"/>
    <w:rsid w:val="008D48A8"/>
    <w:rsid w:val="008D4BEB"/>
    <w:rsid w:val="008D50DE"/>
    <w:rsid w:val="008D5672"/>
    <w:rsid w:val="008D56DC"/>
    <w:rsid w:val="008D5813"/>
    <w:rsid w:val="008D5D99"/>
    <w:rsid w:val="008D5F0E"/>
    <w:rsid w:val="008D67D0"/>
    <w:rsid w:val="008D6ABA"/>
    <w:rsid w:val="008D6EB4"/>
    <w:rsid w:val="008D76D4"/>
    <w:rsid w:val="008D77BC"/>
    <w:rsid w:val="008D78A0"/>
    <w:rsid w:val="008D7A7C"/>
    <w:rsid w:val="008E02EB"/>
    <w:rsid w:val="008E2182"/>
    <w:rsid w:val="008E23BF"/>
    <w:rsid w:val="008E2A59"/>
    <w:rsid w:val="008E379A"/>
    <w:rsid w:val="008E40F6"/>
    <w:rsid w:val="008E6948"/>
    <w:rsid w:val="008E763D"/>
    <w:rsid w:val="008E7D1A"/>
    <w:rsid w:val="008F06BF"/>
    <w:rsid w:val="008F0847"/>
    <w:rsid w:val="008F0BD2"/>
    <w:rsid w:val="008F0E67"/>
    <w:rsid w:val="008F2583"/>
    <w:rsid w:val="008F27C5"/>
    <w:rsid w:val="008F2BD2"/>
    <w:rsid w:val="008F3270"/>
    <w:rsid w:val="008F332A"/>
    <w:rsid w:val="008F33A5"/>
    <w:rsid w:val="008F359F"/>
    <w:rsid w:val="008F3646"/>
    <w:rsid w:val="008F39DA"/>
    <w:rsid w:val="008F3A68"/>
    <w:rsid w:val="008F48B7"/>
    <w:rsid w:val="008F53FA"/>
    <w:rsid w:val="008F54DF"/>
    <w:rsid w:val="008F5BD0"/>
    <w:rsid w:val="008F5CDA"/>
    <w:rsid w:val="008F6541"/>
    <w:rsid w:val="008F738C"/>
    <w:rsid w:val="008F7775"/>
    <w:rsid w:val="00900118"/>
    <w:rsid w:val="009001F2"/>
    <w:rsid w:val="009004C7"/>
    <w:rsid w:val="00900C3D"/>
    <w:rsid w:val="0090133C"/>
    <w:rsid w:val="0090185B"/>
    <w:rsid w:val="00901B89"/>
    <w:rsid w:val="00902027"/>
    <w:rsid w:val="00902227"/>
    <w:rsid w:val="00904145"/>
    <w:rsid w:val="009042CE"/>
    <w:rsid w:val="009047C5"/>
    <w:rsid w:val="00905672"/>
    <w:rsid w:val="009061DE"/>
    <w:rsid w:val="009068C2"/>
    <w:rsid w:val="00907370"/>
    <w:rsid w:val="00907D99"/>
    <w:rsid w:val="009101DA"/>
    <w:rsid w:val="00911888"/>
    <w:rsid w:val="009119CA"/>
    <w:rsid w:val="00911B49"/>
    <w:rsid w:val="00911ED8"/>
    <w:rsid w:val="009120B6"/>
    <w:rsid w:val="00912BA9"/>
    <w:rsid w:val="00913AC4"/>
    <w:rsid w:val="009149A8"/>
    <w:rsid w:val="00914E16"/>
    <w:rsid w:val="00915375"/>
    <w:rsid w:val="009153FB"/>
    <w:rsid w:val="009166E7"/>
    <w:rsid w:val="00916E86"/>
    <w:rsid w:val="00917522"/>
    <w:rsid w:val="00917967"/>
    <w:rsid w:val="00917E40"/>
    <w:rsid w:val="00920F23"/>
    <w:rsid w:val="00920F32"/>
    <w:rsid w:val="009219C4"/>
    <w:rsid w:val="00921B5A"/>
    <w:rsid w:val="00922031"/>
    <w:rsid w:val="009228FB"/>
    <w:rsid w:val="00922F8B"/>
    <w:rsid w:val="00922FCC"/>
    <w:rsid w:val="009236F8"/>
    <w:rsid w:val="00924A0C"/>
    <w:rsid w:val="00924FEB"/>
    <w:rsid w:val="00926453"/>
    <w:rsid w:val="00927971"/>
    <w:rsid w:val="009300CD"/>
    <w:rsid w:val="009304A1"/>
    <w:rsid w:val="009309D2"/>
    <w:rsid w:val="00932FE7"/>
    <w:rsid w:val="00933820"/>
    <w:rsid w:val="00933D31"/>
    <w:rsid w:val="009341D4"/>
    <w:rsid w:val="00935492"/>
    <w:rsid w:val="0093565C"/>
    <w:rsid w:val="009357B6"/>
    <w:rsid w:val="00935E1E"/>
    <w:rsid w:val="009364BE"/>
    <w:rsid w:val="00936B69"/>
    <w:rsid w:val="009372CA"/>
    <w:rsid w:val="00937575"/>
    <w:rsid w:val="0094018D"/>
    <w:rsid w:val="00940F9D"/>
    <w:rsid w:val="0094126F"/>
    <w:rsid w:val="00941BCF"/>
    <w:rsid w:val="00941C9F"/>
    <w:rsid w:val="00943B9A"/>
    <w:rsid w:val="00945152"/>
    <w:rsid w:val="009454BB"/>
    <w:rsid w:val="0094599B"/>
    <w:rsid w:val="0094663C"/>
    <w:rsid w:val="00946957"/>
    <w:rsid w:val="009476A4"/>
    <w:rsid w:val="00947BF0"/>
    <w:rsid w:val="009501E0"/>
    <w:rsid w:val="00952277"/>
    <w:rsid w:val="009526B1"/>
    <w:rsid w:val="00952939"/>
    <w:rsid w:val="00953195"/>
    <w:rsid w:val="009545F1"/>
    <w:rsid w:val="0095526E"/>
    <w:rsid w:val="00955A85"/>
    <w:rsid w:val="00956E23"/>
    <w:rsid w:val="0095756C"/>
    <w:rsid w:val="00957AE7"/>
    <w:rsid w:val="00961413"/>
    <w:rsid w:val="0096155E"/>
    <w:rsid w:val="00961A65"/>
    <w:rsid w:val="00961CC3"/>
    <w:rsid w:val="00961CE3"/>
    <w:rsid w:val="00961EE3"/>
    <w:rsid w:val="009623BA"/>
    <w:rsid w:val="00962477"/>
    <w:rsid w:val="00962555"/>
    <w:rsid w:val="00963053"/>
    <w:rsid w:val="00966352"/>
    <w:rsid w:val="0096797D"/>
    <w:rsid w:val="0097087E"/>
    <w:rsid w:val="00970C62"/>
    <w:rsid w:val="00970EFB"/>
    <w:rsid w:val="009714D8"/>
    <w:rsid w:val="00971737"/>
    <w:rsid w:val="00972DB7"/>
    <w:rsid w:val="0097379D"/>
    <w:rsid w:val="00973BC7"/>
    <w:rsid w:val="00974CB3"/>
    <w:rsid w:val="00975E1F"/>
    <w:rsid w:val="00976B93"/>
    <w:rsid w:val="009772DF"/>
    <w:rsid w:val="00977867"/>
    <w:rsid w:val="00977E26"/>
    <w:rsid w:val="00980ABD"/>
    <w:rsid w:val="0098130B"/>
    <w:rsid w:val="00981541"/>
    <w:rsid w:val="00981C47"/>
    <w:rsid w:val="0098201D"/>
    <w:rsid w:val="0098261A"/>
    <w:rsid w:val="00982A80"/>
    <w:rsid w:val="009854BA"/>
    <w:rsid w:val="00986E07"/>
    <w:rsid w:val="00986FC7"/>
    <w:rsid w:val="0098787F"/>
    <w:rsid w:val="00987D6D"/>
    <w:rsid w:val="009907C0"/>
    <w:rsid w:val="009921C8"/>
    <w:rsid w:val="00992340"/>
    <w:rsid w:val="00993ACA"/>
    <w:rsid w:val="009944CC"/>
    <w:rsid w:val="0099464C"/>
    <w:rsid w:val="00994BBB"/>
    <w:rsid w:val="00994D59"/>
    <w:rsid w:val="00995847"/>
    <w:rsid w:val="00996372"/>
    <w:rsid w:val="009964F4"/>
    <w:rsid w:val="00996650"/>
    <w:rsid w:val="009967EB"/>
    <w:rsid w:val="00996812"/>
    <w:rsid w:val="009972E3"/>
    <w:rsid w:val="009A1007"/>
    <w:rsid w:val="009A106B"/>
    <w:rsid w:val="009A1839"/>
    <w:rsid w:val="009A2878"/>
    <w:rsid w:val="009A3AA0"/>
    <w:rsid w:val="009A553B"/>
    <w:rsid w:val="009A55D3"/>
    <w:rsid w:val="009A59A0"/>
    <w:rsid w:val="009A67DB"/>
    <w:rsid w:val="009A6946"/>
    <w:rsid w:val="009A7DA4"/>
    <w:rsid w:val="009B0069"/>
    <w:rsid w:val="009B0D30"/>
    <w:rsid w:val="009B0F24"/>
    <w:rsid w:val="009B15FF"/>
    <w:rsid w:val="009B1889"/>
    <w:rsid w:val="009B21F6"/>
    <w:rsid w:val="009B2C42"/>
    <w:rsid w:val="009B3F54"/>
    <w:rsid w:val="009B5FE8"/>
    <w:rsid w:val="009B622F"/>
    <w:rsid w:val="009B6338"/>
    <w:rsid w:val="009B6769"/>
    <w:rsid w:val="009B6A54"/>
    <w:rsid w:val="009B74B5"/>
    <w:rsid w:val="009B78BD"/>
    <w:rsid w:val="009C1024"/>
    <w:rsid w:val="009C10E0"/>
    <w:rsid w:val="009C10E6"/>
    <w:rsid w:val="009C11A9"/>
    <w:rsid w:val="009C1A0F"/>
    <w:rsid w:val="009C1C7C"/>
    <w:rsid w:val="009C2446"/>
    <w:rsid w:val="009C2449"/>
    <w:rsid w:val="009C2477"/>
    <w:rsid w:val="009C285A"/>
    <w:rsid w:val="009C4DDD"/>
    <w:rsid w:val="009C5E14"/>
    <w:rsid w:val="009C6026"/>
    <w:rsid w:val="009C62F5"/>
    <w:rsid w:val="009C6E61"/>
    <w:rsid w:val="009C7902"/>
    <w:rsid w:val="009C79B1"/>
    <w:rsid w:val="009C7EE8"/>
    <w:rsid w:val="009D05EE"/>
    <w:rsid w:val="009D0ADA"/>
    <w:rsid w:val="009D1C74"/>
    <w:rsid w:val="009D38AB"/>
    <w:rsid w:val="009D40C7"/>
    <w:rsid w:val="009D4521"/>
    <w:rsid w:val="009D4574"/>
    <w:rsid w:val="009D5338"/>
    <w:rsid w:val="009D5374"/>
    <w:rsid w:val="009D60BF"/>
    <w:rsid w:val="009D701E"/>
    <w:rsid w:val="009D70B7"/>
    <w:rsid w:val="009D728E"/>
    <w:rsid w:val="009D732E"/>
    <w:rsid w:val="009D7E71"/>
    <w:rsid w:val="009E084A"/>
    <w:rsid w:val="009E2C35"/>
    <w:rsid w:val="009E2F1C"/>
    <w:rsid w:val="009E3B17"/>
    <w:rsid w:val="009E43EA"/>
    <w:rsid w:val="009E4B45"/>
    <w:rsid w:val="009E53D2"/>
    <w:rsid w:val="009E5454"/>
    <w:rsid w:val="009E5632"/>
    <w:rsid w:val="009E57D3"/>
    <w:rsid w:val="009E59C0"/>
    <w:rsid w:val="009E5A5C"/>
    <w:rsid w:val="009E6205"/>
    <w:rsid w:val="009E6748"/>
    <w:rsid w:val="009E6F1C"/>
    <w:rsid w:val="009E7AB4"/>
    <w:rsid w:val="009F076A"/>
    <w:rsid w:val="009F0BA4"/>
    <w:rsid w:val="009F0D1E"/>
    <w:rsid w:val="009F1CE6"/>
    <w:rsid w:val="009F2D04"/>
    <w:rsid w:val="009F2EBC"/>
    <w:rsid w:val="009F4220"/>
    <w:rsid w:val="009F49A3"/>
    <w:rsid w:val="009F74E8"/>
    <w:rsid w:val="009F7BD3"/>
    <w:rsid w:val="009F7E18"/>
    <w:rsid w:val="00A0120F"/>
    <w:rsid w:val="00A0343C"/>
    <w:rsid w:val="00A04239"/>
    <w:rsid w:val="00A0446C"/>
    <w:rsid w:val="00A05F98"/>
    <w:rsid w:val="00A063B8"/>
    <w:rsid w:val="00A0785C"/>
    <w:rsid w:val="00A07954"/>
    <w:rsid w:val="00A10082"/>
    <w:rsid w:val="00A119B2"/>
    <w:rsid w:val="00A11EFD"/>
    <w:rsid w:val="00A12727"/>
    <w:rsid w:val="00A14477"/>
    <w:rsid w:val="00A146C2"/>
    <w:rsid w:val="00A14C7A"/>
    <w:rsid w:val="00A15A69"/>
    <w:rsid w:val="00A1607B"/>
    <w:rsid w:val="00A16638"/>
    <w:rsid w:val="00A17CF8"/>
    <w:rsid w:val="00A20F5E"/>
    <w:rsid w:val="00A215F0"/>
    <w:rsid w:val="00A2191A"/>
    <w:rsid w:val="00A2192A"/>
    <w:rsid w:val="00A22927"/>
    <w:rsid w:val="00A22D5A"/>
    <w:rsid w:val="00A237A1"/>
    <w:rsid w:val="00A23939"/>
    <w:rsid w:val="00A23FB0"/>
    <w:rsid w:val="00A24070"/>
    <w:rsid w:val="00A2525B"/>
    <w:rsid w:val="00A2597F"/>
    <w:rsid w:val="00A25FDA"/>
    <w:rsid w:val="00A30FCB"/>
    <w:rsid w:val="00A3100A"/>
    <w:rsid w:val="00A3130E"/>
    <w:rsid w:val="00A318B3"/>
    <w:rsid w:val="00A31C4A"/>
    <w:rsid w:val="00A31CEC"/>
    <w:rsid w:val="00A31DBD"/>
    <w:rsid w:val="00A32A77"/>
    <w:rsid w:val="00A332A2"/>
    <w:rsid w:val="00A3453B"/>
    <w:rsid w:val="00A345C5"/>
    <w:rsid w:val="00A35120"/>
    <w:rsid w:val="00A363AD"/>
    <w:rsid w:val="00A365D1"/>
    <w:rsid w:val="00A36707"/>
    <w:rsid w:val="00A36AE5"/>
    <w:rsid w:val="00A41274"/>
    <w:rsid w:val="00A41453"/>
    <w:rsid w:val="00A4167C"/>
    <w:rsid w:val="00A418B3"/>
    <w:rsid w:val="00A41FB5"/>
    <w:rsid w:val="00A427D2"/>
    <w:rsid w:val="00A42F69"/>
    <w:rsid w:val="00A44994"/>
    <w:rsid w:val="00A449A0"/>
    <w:rsid w:val="00A44D5B"/>
    <w:rsid w:val="00A45838"/>
    <w:rsid w:val="00A470C9"/>
    <w:rsid w:val="00A47354"/>
    <w:rsid w:val="00A47645"/>
    <w:rsid w:val="00A47E32"/>
    <w:rsid w:val="00A51D76"/>
    <w:rsid w:val="00A5258C"/>
    <w:rsid w:val="00A5378A"/>
    <w:rsid w:val="00A5387A"/>
    <w:rsid w:val="00A548B4"/>
    <w:rsid w:val="00A55E49"/>
    <w:rsid w:val="00A56355"/>
    <w:rsid w:val="00A57237"/>
    <w:rsid w:val="00A57AE7"/>
    <w:rsid w:val="00A57F06"/>
    <w:rsid w:val="00A601CA"/>
    <w:rsid w:val="00A6037D"/>
    <w:rsid w:val="00A60B07"/>
    <w:rsid w:val="00A61203"/>
    <w:rsid w:val="00A61295"/>
    <w:rsid w:val="00A61CA0"/>
    <w:rsid w:val="00A62989"/>
    <w:rsid w:val="00A63B72"/>
    <w:rsid w:val="00A63BAE"/>
    <w:rsid w:val="00A6417E"/>
    <w:rsid w:val="00A644FF"/>
    <w:rsid w:val="00A646F0"/>
    <w:rsid w:val="00A64FCE"/>
    <w:rsid w:val="00A6540F"/>
    <w:rsid w:val="00A66163"/>
    <w:rsid w:val="00A6758A"/>
    <w:rsid w:val="00A677EE"/>
    <w:rsid w:val="00A67CC4"/>
    <w:rsid w:val="00A703A3"/>
    <w:rsid w:val="00A707E9"/>
    <w:rsid w:val="00A7101C"/>
    <w:rsid w:val="00A72356"/>
    <w:rsid w:val="00A725F1"/>
    <w:rsid w:val="00A72A53"/>
    <w:rsid w:val="00A73411"/>
    <w:rsid w:val="00A737D2"/>
    <w:rsid w:val="00A73993"/>
    <w:rsid w:val="00A74276"/>
    <w:rsid w:val="00A7581D"/>
    <w:rsid w:val="00A7604C"/>
    <w:rsid w:val="00A76C46"/>
    <w:rsid w:val="00A77059"/>
    <w:rsid w:val="00A77286"/>
    <w:rsid w:val="00A77AB9"/>
    <w:rsid w:val="00A8118D"/>
    <w:rsid w:val="00A81BC4"/>
    <w:rsid w:val="00A8205C"/>
    <w:rsid w:val="00A82CB4"/>
    <w:rsid w:val="00A83278"/>
    <w:rsid w:val="00A8544A"/>
    <w:rsid w:val="00A85DE2"/>
    <w:rsid w:val="00A8639F"/>
    <w:rsid w:val="00A86910"/>
    <w:rsid w:val="00A86E56"/>
    <w:rsid w:val="00A86EA7"/>
    <w:rsid w:val="00A87323"/>
    <w:rsid w:val="00A90106"/>
    <w:rsid w:val="00A905BE"/>
    <w:rsid w:val="00A90756"/>
    <w:rsid w:val="00A90EA4"/>
    <w:rsid w:val="00A90EB0"/>
    <w:rsid w:val="00A923F2"/>
    <w:rsid w:val="00A92456"/>
    <w:rsid w:val="00A93B47"/>
    <w:rsid w:val="00A944E9"/>
    <w:rsid w:val="00A95182"/>
    <w:rsid w:val="00A95289"/>
    <w:rsid w:val="00A95A67"/>
    <w:rsid w:val="00A95EE0"/>
    <w:rsid w:val="00A95F56"/>
    <w:rsid w:val="00A9616E"/>
    <w:rsid w:val="00A97511"/>
    <w:rsid w:val="00A97548"/>
    <w:rsid w:val="00A9766F"/>
    <w:rsid w:val="00A97C11"/>
    <w:rsid w:val="00AA06C6"/>
    <w:rsid w:val="00AA0F7D"/>
    <w:rsid w:val="00AA14D6"/>
    <w:rsid w:val="00AA1AAF"/>
    <w:rsid w:val="00AA1CA6"/>
    <w:rsid w:val="00AA1E29"/>
    <w:rsid w:val="00AA1F5D"/>
    <w:rsid w:val="00AA240F"/>
    <w:rsid w:val="00AA2516"/>
    <w:rsid w:val="00AA3430"/>
    <w:rsid w:val="00AA3AEB"/>
    <w:rsid w:val="00AA3B78"/>
    <w:rsid w:val="00AA4977"/>
    <w:rsid w:val="00AA518F"/>
    <w:rsid w:val="00AA7278"/>
    <w:rsid w:val="00AA7824"/>
    <w:rsid w:val="00AB02E6"/>
    <w:rsid w:val="00AB0814"/>
    <w:rsid w:val="00AB16C9"/>
    <w:rsid w:val="00AB1FBC"/>
    <w:rsid w:val="00AB2C47"/>
    <w:rsid w:val="00AB2F78"/>
    <w:rsid w:val="00AB3711"/>
    <w:rsid w:val="00AB3754"/>
    <w:rsid w:val="00AB3E54"/>
    <w:rsid w:val="00AB521B"/>
    <w:rsid w:val="00AB52A9"/>
    <w:rsid w:val="00AB54A4"/>
    <w:rsid w:val="00AB5547"/>
    <w:rsid w:val="00AB57EF"/>
    <w:rsid w:val="00AC0D32"/>
    <w:rsid w:val="00AC12E3"/>
    <w:rsid w:val="00AC14BE"/>
    <w:rsid w:val="00AC1E81"/>
    <w:rsid w:val="00AC2691"/>
    <w:rsid w:val="00AC26EB"/>
    <w:rsid w:val="00AC28EB"/>
    <w:rsid w:val="00AC322B"/>
    <w:rsid w:val="00AC325F"/>
    <w:rsid w:val="00AC356D"/>
    <w:rsid w:val="00AC3C35"/>
    <w:rsid w:val="00AC3EBA"/>
    <w:rsid w:val="00AC45D7"/>
    <w:rsid w:val="00AC4734"/>
    <w:rsid w:val="00AC4ECF"/>
    <w:rsid w:val="00AC525D"/>
    <w:rsid w:val="00AC5889"/>
    <w:rsid w:val="00AC6546"/>
    <w:rsid w:val="00AC7A67"/>
    <w:rsid w:val="00AC7C62"/>
    <w:rsid w:val="00AD1BB7"/>
    <w:rsid w:val="00AD1FB0"/>
    <w:rsid w:val="00AD2DD3"/>
    <w:rsid w:val="00AD3328"/>
    <w:rsid w:val="00AD3520"/>
    <w:rsid w:val="00AD3A25"/>
    <w:rsid w:val="00AD4235"/>
    <w:rsid w:val="00AD4454"/>
    <w:rsid w:val="00AD4735"/>
    <w:rsid w:val="00AD65EB"/>
    <w:rsid w:val="00AD67D1"/>
    <w:rsid w:val="00AD67E9"/>
    <w:rsid w:val="00AD6AB8"/>
    <w:rsid w:val="00AD6ACA"/>
    <w:rsid w:val="00AE0812"/>
    <w:rsid w:val="00AE179B"/>
    <w:rsid w:val="00AE25DC"/>
    <w:rsid w:val="00AE31A3"/>
    <w:rsid w:val="00AE3CDC"/>
    <w:rsid w:val="00AE3ECE"/>
    <w:rsid w:val="00AE5BE2"/>
    <w:rsid w:val="00AE6660"/>
    <w:rsid w:val="00AE7205"/>
    <w:rsid w:val="00AE7801"/>
    <w:rsid w:val="00AF02E5"/>
    <w:rsid w:val="00AF1838"/>
    <w:rsid w:val="00AF1ECF"/>
    <w:rsid w:val="00AF2380"/>
    <w:rsid w:val="00AF3325"/>
    <w:rsid w:val="00AF359D"/>
    <w:rsid w:val="00AF3984"/>
    <w:rsid w:val="00AF40CC"/>
    <w:rsid w:val="00AF43F1"/>
    <w:rsid w:val="00AF4E35"/>
    <w:rsid w:val="00AF5226"/>
    <w:rsid w:val="00AF5B45"/>
    <w:rsid w:val="00AF6859"/>
    <w:rsid w:val="00AF6B1A"/>
    <w:rsid w:val="00AF7742"/>
    <w:rsid w:val="00B00012"/>
    <w:rsid w:val="00B00665"/>
    <w:rsid w:val="00B01277"/>
    <w:rsid w:val="00B01B50"/>
    <w:rsid w:val="00B0232F"/>
    <w:rsid w:val="00B03BEA"/>
    <w:rsid w:val="00B03D04"/>
    <w:rsid w:val="00B0428D"/>
    <w:rsid w:val="00B04417"/>
    <w:rsid w:val="00B05FB7"/>
    <w:rsid w:val="00B10C26"/>
    <w:rsid w:val="00B10E19"/>
    <w:rsid w:val="00B11544"/>
    <w:rsid w:val="00B11A5F"/>
    <w:rsid w:val="00B13403"/>
    <w:rsid w:val="00B13918"/>
    <w:rsid w:val="00B159AE"/>
    <w:rsid w:val="00B15C0D"/>
    <w:rsid w:val="00B16886"/>
    <w:rsid w:val="00B1748B"/>
    <w:rsid w:val="00B17D18"/>
    <w:rsid w:val="00B20AEE"/>
    <w:rsid w:val="00B21150"/>
    <w:rsid w:val="00B217D9"/>
    <w:rsid w:val="00B21867"/>
    <w:rsid w:val="00B21CD8"/>
    <w:rsid w:val="00B23B51"/>
    <w:rsid w:val="00B244ED"/>
    <w:rsid w:val="00B263B0"/>
    <w:rsid w:val="00B30ACA"/>
    <w:rsid w:val="00B30C53"/>
    <w:rsid w:val="00B30C68"/>
    <w:rsid w:val="00B30FA7"/>
    <w:rsid w:val="00B32857"/>
    <w:rsid w:val="00B32C6D"/>
    <w:rsid w:val="00B3316D"/>
    <w:rsid w:val="00B3321A"/>
    <w:rsid w:val="00B34814"/>
    <w:rsid w:val="00B35DC2"/>
    <w:rsid w:val="00B36A5B"/>
    <w:rsid w:val="00B36C60"/>
    <w:rsid w:val="00B4001A"/>
    <w:rsid w:val="00B40774"/>
    <w:rsid w:val="00B40C04"/>
    <w:rsid w:val="00B41FC1"/>
    <w:rsid w:val="00B423B7"/>
    <w:rsid w:val="00B42B79"/>
    <w:rsid w:val="00B42BA9"/>
    <w:rsid w:val="00B42E8B"/>
    <w:rsid w:val="00B43A3F"/>
    <w:rsid w:val="00B4463A"/>
    <w:rsid w:val="00B44929"/>
    <w:rsid w:val="00B44A97"/>
    <w:rsid w:val="00B45468"/>
    <w:rsid w:val="00B45B1B"/>
    <w:rsid w:val="00B465E1"/>
    <w:rsid w:val="00B46B9D"/>
    <w:rsid w:val="00B47DEA"/>
    <w:rsid w:val="00B50186"/>
    <w:rsid w:val="00B504DF"/>
    <w:rsid w:val="00B50B6D"/>
    <w:rsid w:val="00B51CA7"/>
    <w:rsid w:val="00B525D6"/>
    <w:rsid w:val="00B53D63"/>
    <w:rsid w:val="00B54AFF"/>
    <w:rsid w:val="00B55464"/>
    <w:rsid w:val="00B55E25"/>
    <w:rsid w:val="00B565A2"/>
    <w:rsid w:val="00B56850"/>
    <w:rsid w:val="00B56AED"/>
    <w:rsid w:val="00B56B18"/>
    <w:rsid w:val="00B57927"/>
    <w:rsid w:val="00B57A87"/>
    <w:rsid w:val="00B60733"/>
    <w:rsid w:val="00B60B78"/>
    <w:rsid w:val="00B60F79"/>
    <w:rsid w:val="00B616EE"/>
    <w:rsid w:val="00B63014"/>
    <w:rsid w:val="00B632DD"/>
    <w:rsid w:val="00B64101"/>
    <w:rsid w:val="00B6430E"/>
    <w:rsid w:val="00B65143"/>
    <w:rsid w:val="00B6586F"/>
    <w:rsid w:val="00B660EF"/>
    <w:rsid w:val="00B72CB5"/>
    <w:rsid w:val="00B73784"/>
    <w:rsid w:val="00B74069"/>
    <w:rsid w:val="00B75BB0"/>
    <w:rsid w:val="00B77BA4"/>
    <w:rsid w:val="00B804C0"/>
    <w:rsid w:val="00B82448"/>
    <w:rsid w:val="00B8315A"/>
    <w:rsid w:val="00B83E76"/>
    <w:rsid w:val="00B84150"/>
    <w:rsid w:val="00B85357"/>
    <w:rsid w:val="00B85F5D"/>
    <w:rsid w:val="00B876BD"/>
    <w:rsid w:val="00B90921"/>
    <w:rsid w:val="00B909A6"/>
    <w:rsid w:val="00B913F1"/>
    <w:rsid w:val="00B92698"/>
    <w:rsid w:val="00B929E7"/>
    <w:rsid w:val="00B9346E"/>
    <w:rsid w:val="00B940BF"/>
    <w:rsid w:val="00B96CFE"/>
    <w:rsid w:val="00B97815"/>
    <w:rsid w:val="00B97900"/>
    <w:rsid w:val="00BA19E5"/>
    <w:rsid w:val="00BA1CAF"/>
    <w:rsid w:val="00BA22A2"/>
    <w:rsid w:val="00BA39CF"/>
    <w:rsid w:val="00BA43C5"/>
    <w:rsid w:val="00BA49FA"/>
    <w:rsid w:val="00BA50E1"/>
    <w:rsid w:val="00BA56F6"/>
    <w:rsid w:val="00BA5746"/>
    <w:rsid w:val="00BA5A01"/>
    <w:rsid w:val="00BA7DB6"/>
    <w:rsid w:val="00BB1AAA"/>
    <w:rsid w:val="00BB34EC"/>
    <w:rsid w:val="00BB3F07"/>
    <w:rsid w:val="00BB42B1"/>
    <w:rsid w:val="00BB43F2"/>
    <w:rsid w:val="00BB449E"/>
    <w:rsid w:val="00BB5EB8"/>
    <w:rsid w:val="00BB7098"/>
    <w:rsid w:val="00BB7254"/>
    <w:rsid w:val="00BC0E9A"/>
    <w:rsid w:val="00BC1D36"/>
    <w:rsid w:val="00BC1F79"/>
    <w:rsid w:val="00BC20EF"/>
    <w:rsid w:val="00BC2382"/>
    <w:rsid w:val="00BC2776"/>
    <w:rsid w:val="00BC3557"/>
    <w:rsid w:val="00BC3A54"/>
    <w:rsid w:val="00BC3FC0"/>
    <w:rsid w:val="00BC45A2"/>
    <w:rsid w:val="00BC4724"/>
    <w:rsid w:val="00BC4999"/>
    <w:rsid w:val="00BC50B7"/>
    <w:rsid w:val="00BC5271"/>
    <w:rsid w:val="00BC6ACF"/>
    <w:rsid w:val="00BC6CEF"/>
    <w:rsid w:val="00BC6FEF"/>
    <w:rsid w:val="00BD0654"/>
    <w:rsid w:val="00BD1220"/>
    <w:rsid w:val="00BD1395"/>
    <w:rsid w:val="00BD1B38"/>
    <w:rsid w:val="00BD2B2C"/>
    <w:rsid w:val="00BD32E9"/>
    <w:rsid w:val="00BD3CCC"/>
    <w:rsid w:val="00BD4DAF"/>
    <w:rsid w:val="00BD5BD2"/>
    <w:rsid w:val="00BD6E0D"/>
    <w:rsid w:val="00BE00B5"/>
    <w:rsid w:val="00BE0A9B"/>
    <w:rsid w:val="00BE1A07"/>
    <w:rsid w:val="00BE1B97"/>
    <w:rsid w:val="00BE2A91"/>
    <w:rsid w:val="00BE3C88"/>
    <w:rsid w:val="00BE52A1"/>
    <w:rsid w:val="00BE6A38"/>
    <w:rsid w:val="00BF0151"/>
    <w:rsid w:val="00BF06E8"/>
    <w:rsid w:val="00BF09DD"/>
    <w:rsid w:val="00BF17A0"/>
    <w:rsid w:val="00BF1B15"/>
    <w:rsid w:val="00BF1D30"/>
    <w:rsid w:val="00BF2405"/>
    <w:rsid w:val="00BF2416"/>
    <w:rsid w:val="00BF297D"/>
    <w:rsid w:val="00BF2B9C"/>
    <w:rsid w:val="00BF594D"/>
    <w:rsid w:val="00BF675A"/>
    <w:rsid w:val="00BF70F0"/>
    <w:rsid w:val="00BF7106"/>
    <w:rsid w:val="00BF747C"/>
    <w:rsid w:val="00BF7DFC"/>
    <w:rsid w:val="00BF7E6A"/>
    <w:rsid w:val="00C00430"/>
    <w:rsid w:val="00C02129"/>
    <w:rsid w:val="00C0218D"/>
    <w:rsid w:val="00C02E77"/>
    <w:rsid w:val="00C05DA7"/>
    <w:rsid w:val="00C07DEE"/>
    <w:rsid w:val="00C07E5E"/>
    <w:rsid w:val="00C10840"/>
    <w:rsid w:val="00C1120F"/>
    <w:rsid w:val="00C11BD4"/>
    <w:rsid w:val="00C13446"/>
    <w:rsid w:val="00C13787"/>
    <w:rsid w:val="00C149D7"/>
    <w:rsid w:val="00C14BB8"/>
    <w:rsid w:val="00C154B1"/>
    <w:rsid w:val="00C15957"/>
    <w:rsid w:val="00C167C1"/>
    <w:rsid w:val="00C16863"/>
    <w:rsid w:val="00C16AF1"/>
    <w:rsid w:val="00C17B28"/>
    <w:rsid w:val="00C17D1B"/>
    <w:rsid w:val="00C20E3D"/>
    <w:rsid w:val="00C20ED1"/>
    <w:rsid w:val="00C2115C"/>
    <w:rsid w:val="00C2211A"/>
    <w:rsid w:val="00C2294D"/>
    <w:rsid w:val="00C23866"/>
    <w:rsid w:val="00C23C3F"/>
    <w:rsid w:val="00C250DC"/>
    <w:rsid w:val="00C25394"/>
    <w:rsid w:val="00C25816"/>
    <w:rsid w:val="00C2594B"/>
    <w:rsid w:val="00C26634"/>
    <w:rsid w:val="00C26713"/>
    <w:rsid w:val="00C271F9"/>
    <w:rsid w:val="00C27B3D"/>
    <w:rsid w:val="00C27D75"/>
    <w:rsid w:val="00C301C2"/>
    <w:rsid w:val="00C319FC"/>
    <w:rsid w:val="00C32A48"/>
    <w:rsid w:val="00C33583"/>
    <w:rsid w:val="00C33761"/>
    <w:rsid w:val="00C33922"/>
    <w:rsid w:val="00C347CC"/>
    <w:rsid w:val="00C34869"/>
    <w:rsid w:val="00C3499A"/>
    <w:rsid w:val="00C36909"/>
    <w:rsid w:val="00C401FC"/>
    <w:rsid w:val="00C40CFC"/>
    <w:rsid w:val="00C41270"/>
    <w:rsid w:val="00C41342"/>
    <w:rsid w:val="00C41BD8"/>
    <w:rsid w:val="00C422E3"/>
    <w:rsid w:val="00C423EF"/>
    <w:rsid w:val="00C4286E"/>
    <w:rsid w:val="00C42EFC"/>
    <w:rsid w:val="00C4309D"/>
    <w:rsid w:val="00C43143"/>
    <w:rsid w:val="00C44408"/>
    <w:rsid w:val="00C465F2"/>
    <w:rsid w:val="00C468DF"/>
    <w:rsid w:val="00C46AE1"/>
    <w:rsid w:val="00C47C1A"/>
    <w:rsid w:val="00C5205D"/>
    <w:rsid w:val="00C52070"/>
    <w:rsid w:val="00C522B0"/>
    <w:rsid w:val="00C522CC"/>
    <w:rsid w:val="00C52FFF"/>
    <w:rsid w:val="00C53BC3"/>
    <w:rsid w:val="00C544F3"/>
    <w:rsid w:val="00C54CCD"/>
    <w:rsid w:val="00C55CCA"/>
    <w:rsid w:val="00C56B5D"/>
    <w:rsid w:val="00C56C89"/>
    <w:rsid w:val="00C60C54"/>
    <w:rsid w:val="00C60C73"/>
    <w:rsid w:val="00C60DD2"/>
    <w:rsid w:val="00C61777"/>
    <w:rsid w:val="00C61F13"/>
    <w:rsid w:val="00C620B0"/>
    <w:rsid w:val="00C629CF"/>
    <w:rsid w:val="00C62A15"/>
    <w:rsid w:val="00C637D1"/>
    <w:rsid w:val="00C638B2"/>
    <w:rsid w:val="00C63BEF"/>
    <w:rsid w:val="00C64B00"/>
    <w:rsid w:val="00C654DE"/>
    <w:rsid w:val="00C6675F"/>
    <w:rsid w:val="00C668CB"/>
    <w:rsid w:val="00C66B9C"/>
    <w:rsid w:val="00C66CB6"/>
    <w:rsid w:val="00C6739D"/>
    <w:rsid w:val="00C710DC"/>
    <w:rsid w:val="00C72178"/>
    <w:rsid w:val="00C721DB"/>
    <w:rsid w:val="00C72BE3"/>
    <w:rsid w:val="00C72C42"/>
    <w:rsid w:val="00C73E06"/>
    <w:rsid w:val="00C73F36"/>
    <w:rsid w:val="00C768BD"/>
    <w:rsid w:val="00C76C37"/>
    <w:rsid w:val="00C77556"/>
    <w:rsid w:val="00C77678"/>
    <w:rsid w:val="00C77DAC"/>
    <w:rsid w:val="00C801F4"/>
    <w:rsid w:val="00C8096F"/>
    <w:rsid w:val="00C828DB"/>
    <w:rsid w:val="00C841CC"/>
    <w:rsid w:val="00C8536F"/>
    <w:rsid w:val="00C8577E"/>
    <w:rsid w:val="00C86AFA"/>
    <w:rsid w:val="00C87E66"/>
    <w:rsid w:val="00C90165"/>
    <w:rsid w:val="00C90A74"/>
    <w:rsid w:val="00C919C0"/>
    <w:rsid w:val="00C919C6"/>
    <w:rsid w:val="00C9293E"/>
    <w:rsid w:val="00C944AB"/>
    <w:rsid w:val="00C94931"/>
    <w:rsid w:val="00C94AC8"/>
    <w:rsid w:val="00C9697C"/>
    <w:rsid w:val="00C96A42"/>
    <w:rsid w:val="00C97681"/>
    <w:rsid w:val="00C97957"/>
    <w:rsid w:val="00CA053B"/>
    <w:rsid w:val="00CA09A3"/>
    <w:rsid w:val="00CA0B21"/>
    <w:rsid w:val="00CA0BEB"/>
    <w:rsid w:val="00CA0DBA"/>
    <w:rsid w:val="00CA31D9"/>
    <w:rsid w:val="00CA479F"/>
    <w:rsid w:val="00CA561B"/>
    <w:rsid w:val="00CA59A8"/>
    <w:rsid w:val="00CA5BE7"/>
    <w:rsid w:val="00CA6AF3"/>
    <w:rsid w:val="00CA7516"/>
    <w:rsid w:val="00CB05BD"/>
    <w:rsid w:val="00CB0A88"/>
    <w:rsid w:val="00CB141D"/>
    <w:rsid w:val="00CB16B0"/>
    <w:rsid w:val="00CB1D65"/>
    <w:rsid w:val="00CB2C7A"/>
    <w:rsid w:val="00CB2F1F"/>
    <w:rsid w:val="00CB3903"/>
    <w:rsid w:val="00CB3E3A"/>
    <w:rsid w:val="00CB4C75"/>
    <w:rsid w:val="00CB4E29"/>
    <w:rsid w:val="00CB5A45"/>
    <w:rsid w:val="00CB5C0A"/>
    <w:rsid w:val="00CB7E60"/>
    <w:rsid w:val="00CB7E83"/>
    <w:rsid w:val="00CC094F"/>
    <w:rsid w:val="00CC0ED1"/>
    <w:rsid w:val="00CC1743"/>
    <w:rsid w:val="00CC28F3"/>
    <w:rsid w:val="00CC36D2"/>
    <w:rsid w:val="00CC4638"/>
    <w:rsid w:val="00CC4654"/>
    <w:rsid w:val="00CC4680"/>
    <w:rsid w:val="00CC4854"/>
    <w:rsid w:val="00CC4C11"/>
    <w:rsid w:val="00CC6846"/>
    <w:rsid w:val="00CC6976"/>
    <w:rsid w:val="00CC69BC"/>
    <w:rsid w:val="00CC6C8D"/>
    <w:rsid w:val="00CC7179"/>
    <w:rsid w:val="00CC7C3F"/>
    <w:rsid w:val="00CD0CF8"/>
    <w:rsid w:val="00CD14EC"/>
    <w:rsid w:val="00CD1AE0"/>
    <w:rsid w:val="00CD1C84"/>
    <w:rsid w:val="00CD27BA"/>
    <w:rsid w:val="00CD5006"/>
    <w:rsid w:val="00CD51E5"/>
    <w:rsid w:val="00CD5328"/>
    <w:rsid w:val="00CD5668"/>
    <w:rsid w:val="00CD56D7"/>
    <w:rsid w:val="00CD670B"/>
    <w:rsid w:val="00CD6BFC"/>
    <w:rsid w:val="00CD6C2A"/>
    <w:rsid w:val="00CD7503"/>
    <w:rsid w:val="00CD7557"/>
    <w:rsid w:val="00CE04EC"/>
    <w:rsid w:val="00CE0AB1"/>
    <w:rsid w:val="00CE0CF0"/>
    <w:rsid w:val="00CE0EFB"/>
    <w:rsid w:val="00CE0F31"/>
    <w:rsid w:val="00CE121D"/>
    <w:rsid w:val="00CE1937"/>
    <w:rsid w:val="00CE19C0"/>
    <w:rsid w:val="00CE1A4F"/>
    <w:rsid w:val="00CE21FF"/>
    <w:rsid w:val="00CE245D"/>
    <w:rsid w:val="00CE2CBF"/>
    <w:rsid w:val="00CE3A3D"/>
    <w:rsid w:val="00CE41BB"/>
    <w:rsid w:val="00CE4912"/>
    <w:rsid w:val="00CE51E9"/>
    <w:rsid w:val="00CE5A02"/>
    <w:rsid w:val="00CE5C6B"/>
    <w:rsid w:val="00CE5C76"/>
    <w:rsid w:val="00CE627E"/>
    <w:rsid w:val="00CE680E"/>
    <w:rsid w:val="00CE6B9D"/>
    <w:rsid w:val="00CE7362"/>
    <w:rsid w:val="00CE7668"/>
    <w:rsid w:val="00CE797F"/>
    <w:rsid w:val="00CE7E95"/>
    <w:rsid w:val="00CE7F84"/>
    <w:rsid w:val="00CF1209"/>
    <w:rsid w:val="00CF1517"/>
    <w:rsid w:val="00CF23BD"/>
    <w:rsid w:val="00CF26C1"/>
    <w:rsid w:val="00CF2B63"/>
    <w:rsid w:val="00CF34B3"/>
    <w:rsid w:val="00CF36BB"/>
    <w:rsid w:val="00CF441F"/>
    <w:rsid w:val="00CF473F"/>
    <w:rsid w:val="00CF5A39"/>
    <w:rsid w:val="00CF7E77"/>
    <w:rsid w:val="00D00D6E"/>
    <w:rsid w:val="00D00E2B"/>
    <w:rsid w:val="00D01289"/>
    <w:rsid w:val="00D01AE9"/>
    <w:rsid w:val="00D022A4"/>
    <w:rsid w:val="00D02F2E"/>
    <w:rsid w:val="00D0357A"/>
    <w:rsid w:val="00D039FA"/>
    <w:rsid w:val="00D03DC4"/>
    <w:rsid w:val="00D0474F"/>
    <w:rsid w:val="00D05602"/>
    <w:rsid w:val="00D05E5A"/>
    <w:rsid w:val="00D07523"/>
    <w:rsid w:val="00D10558"/>
    <w:rsid w:val="00D106EB"/>
    <w:rsid w:val="00D1072D"/>
    <w:rsid w:val="00D116C9"/>
    <w:rsid w:val="00D12138"/>
    <w:rsid w:val="00D12D85"/>
    <w:rsid w:val="00D1323C"/>
    <w:rsid w:val="00D13B9B"/>
    <w:rsid w:val="00D145A3"/>
    <w:rsid w:val="00D167BD"/>
    <w:rsid w:val="00D17BFC"/>
    <w:rsid w:val="00D17FD9"/>
    <w:rsid w:val="00D2000A"/>
    <w:rsid w:val="00D20BD6"/>
    <w:rsid w:val="00D21564"/>
    <w:rsid w:val="00D2186C"/>
    <w:rsid w:val="00D22A68"/>
    <w:rsid w:val="00D23572"/>
    <w:rsid w:val="00D24707"/>
    <w:rsid w:val="00D251C8"/>
    <w:rsid w:val="00D25480"/>
    <w:rsid w:val="00D25DC7"/>
    <w:rsid w:val="00D25F4B"/>
    <w:rsid w:val="00D266EB"/>
    <w:rsid w:val="00D302FC"/>
    <w:rsid w:val="00D30AF9"/>
    <w:rsid w:val="00D3123A"/>
    <w:rsid w:val="00D31829"/>
    <w:rsid w:val="00D31F00"/>
    <w:rsid w:val="00D33B4E"/>
    <w:rsid w:val="00D33EA7"/>
    <w:rsid w:val="00D34530"/>
    <w:rsid w:val="00D3575E"/>
    <w:rsid w:val="00D35C85"/>
    <w:rsid w:val="00D36245"/>
    <w:rsid w:val="00D37B38"/>
    <w:rsid w:val="00D40267"/>
    <w:rsid w:val="00D40372"/>
    <w:rsid w:val="00D40876"/>
    <w:rsid w:val="00D411A7"/>
    <w:rsid w:val="00D4188F"/>
    <w:rsid w:val="00D41C4A"/>
    <w:rsid w:val="00D42959"/>
    <w:rsid w:val="00D432A0"/>
    <w:rsid w:val="00D43449"/>
    <w:rsid w:val="00D43FE7"/>
    <w:rsid w:val="00D440E4"/>
    <w:rsid w:val="00D4585A"/>
    <w:rsid w:val="00D45E53"/>
    <w:rsid w:val="00D4618A"/>
    <w:rsid w:val="00D46D6E"/>
    <w:rsid w:val="00D46DB6"/>
    <w:rsid w:val="00D47047"/>
    <w:rsid w:val="00D47BDF"/>
    <w:rsid w:val="00D47D8D"/>
    <w:rsid w:val="00D500B6"/>
    <w:rsid w:val="00D508ED"/>
    <w:rsid w:val="00D50B15"/>
    <w:rsid w:val="00D51E51"/>
    <w:rsid w:val="00D5270F"/>
    <w:rsid w:val="00D52992"/>
    <w:rsid w:val="00D5323B"/>
    <w:rsid w:val="00D54DC0"/>
    <w:rsid w:val="00D56155"/>
    <w:rsid w:val="00D56C03"/>
    <w:rsid w:val="00D57018"/>
    <w:rsid w:val="00D57074"/>
    <w:rsid w:val="00D57627"/>
    <w:rsid w:val="00D60134"/>
    <w:rsid w:val="00D60607"/>
    <w:rsid w:val="00D60E67"/>
    <w:rsid w:val="00D61910"/>
    <w:rsid w:val="00D62179"/>
    <w:rsid w:val="00D62556"/>
    <w:rsid w:val="00D629E0"/>
    <w:rsid w:val="00D642DE"/>
    <w:rsid w:val="00D6433B"/>
    <w:rsid w:val="00D653BB"/>
    <w:rsid w:val="00D658D3"/>
    <w:rsid w:val="00D65E59"/>
    <w:rsid w:val="00D661BC"/>
    <w:rsid w:val="00D7037B"/>
    <w:rsid w:val="00D711DB"/>
    <w:rsid w:val="00D71AEC"/>
    <w:rsid w:val="00D71F5E"/>
    <w:rsid w:val="00D73126"/>
    <w:rsid w:val="00D73F4A"/>
    <w:rsid w:val="00D746A7"/>
    <w:rsid w:val="00D75EC3"/>
    <w:rsid w:val="00D7606D"/>
    <w:rsid w:val="00D76DAE"/>
    <w:rsid w:val="00D80571"/>
    <w:rsid w:val="00D810E1"/>
    <w:rsid w:val="00D813FA"/>
    <w:rsid w:val="00D82AB6"/>
    <w:rsid w:val="00D834CB"/>
    <w:rsid w:val="00D8481E"/>
    <w:rsid w:val="00D84EE8"/>
    <w:rsid w:val="00D854B1"/>
    <w:rsid w:val="00D86CBE"/>
    <w:rsid w:val="00D86ED9"/>
    <w:rsid w:val="00D873D7"/>
    <w:rsid w:val="00D87710"/>
    <w:rsid w:val="00D8772D"/>
    <w:rsid w:val="00D87FB7"/>
    <w:rsid w:val="00D913B5"/>
    <w:rsid w:val="00D913BA"/>
    <w:rsid w:val="00D91531"/>
    <w:rsid w:val="00D91C27"/>
    <w:rsid w:val="00D920A3"/>
    <w:rsid w:val="00D92EEA"/>
    <w:rsid w:val="00D9374E"/>
    <w:rsid w:val="00D94102"/>
    <w:rsid w:val="00D945BE"/>
    <w:rsid w:val="00D950BE"/>
    <w:rsid w:val="00D95184"/>
    <w:rsid w:val="00D952B1"/>
    <w:rsid w:val="00D95323"/>
    <w:rsid w:val="00D95AC0"/>
    <w:rsid w:val="00D95FDC"/>
    <w:rsid w:val="00D96039"/>
    <w:rsid w:val="00D960BC"/>
    <w:rsid w:val="00D96ADA"/>
    <w:rsid w:val="00D970CC"/>
    <w:rsid w:val="00D97A0A"/>
    <w:rsid w:val="00D97D05"/>
    <w:rsid w:val="00D97E9D"/>
    <w:rsid w:val="00DA0D80"/>
    <w:rsid w:val="00DA22E0"/>
    <w:rsid w:val="00DA32D5"/>
    <w:rsid w:val="00DA39C3"/>
    <w:rsid w:val="00DA590D"/>
    <w:rsid w:val="00DA607F"/>
    <w:rsid w:val="00DA6302"/>
    <w:rsid w:val="00DA6D81"/>
    <w:rsid w:val="00DA6DA9"/>
    <w:rsid w:val="00DA76F1"/>
    <w:rsid w:val="00DA7D50"/>
    <w:rsid w:val="00DB0D5D"/>
    <w:rsid w:val="00DB1990"/>
    <w:rsid w:val="00DB2105"/>
    <w:rsid w:val="00DB236B"/>
    <w:rsid w:val="00DB2B3E"/>
    <w:rsid w:val="00DB3BE3"/>
    <w:rsid w:val="00DB3FF7"/>
    <w:rsid w:val="00DB4E79"/>
    <w:rsid w:val="00DB5951"/>
    <w:rsid w:val="00DB61AA"/>
    <w:rsid w:val="00DC0C01"/>
    <w:rsid w:val="00DC0F93"/>
    <w:rsid w:val="00DC231E"/>
    <w:rsid w:val="00DC3DB0"/>
    <w:rsid w:val="00DC438B"/>
    <w:rsid w:val="00DC4DC3"/>
    <w:rsid w:val="00DC679C"/>
    <w:rsid w:val="00DC6A21"/>
    <w:rsid w:val="00DC77DC"/>
    <w:rsid w:val="00DD04CF"/>
    <w:rsid w:val="00DD1ED8"/>
    <w:rsid w:val="00DD2458"/>
    <w:rsid w:val="00DD28AF"/>
    <w:rsid w:val="00DD314A"/>
    <w:rsid w:val="00DD3155"/>
    <w:rsid w:val="00DD398C"/>
    <w:rsid w:val="00DD4353"/>
    <w:rsid w:val="00DD4A71"/>
    <w:rsid w:val="00DD4ADD"/>
    <w:rsid w:val="00DD4B51"/>
    <w:rsid w:val="00DD5369"/>
    <w:rsid w:val="00DD6A32"/>
    <w:rsid w:val="00DD6C1B"/>
    <w:rsid w:val="00DD7166"/>
    <w:rsid w:val="00DD7887"/>
    <w:rsid w:val="00DD79C0"/>
    <w:rsid w:val="00DE03DB"/>
    <w:rsid w:val="00DE0853"/>
    <w:rsid w:val="00DE167C"/>
    <w:rsid w:val="00DE2783"/>
    <w:rsid w:val="00DE2863"/>
    <w:rsid w:val="00DE4754"/>
    <w:rsid w:val="00DE5346"/>
    <w:rsid w:val="00DE5F67"/>
    <w:rsid w:val="00DE7160"/>
    <w:rsid w:val="00DE72A9"/>
    <w:rsid w:val="00DE79DD"/>
    <w:rsid w:val="00DF05E3"/>
    <w:rsid w:val="00DF2267"/>
    <w:rsid w:val="00DF3758"/>
    <w:rsid w:val="00DF3793"/>
    <w:rsid w:val="00DF469F"/>
    <w:rsid w:val="00DF4A92"/>
    <w:rsid w:val="00DF4FE2"/>
    <w:rsid w:val="00DF4FE9"/>
    <w:rsid w:val="00DF594D"/>
    <w:rsid w:val="00DF5E48"/>
    <w:rsid w:val="00DF734F"/>
    <w:rsid w:val="00E000E8"/>
    <w:rsid w:val="00E005CB"/>
    <w:rsid w:val="00E00E65"/>
    <w:rsid w:val="00E0160B"/>
    <w:rsid w:val="00E01A99"/>
    <w:rsid w:val="00E01CB1"/>
    <w:rsid w:val="00E02942"/>
    <w:rsid w:val="00E032D3"/>
    <w:rsid w:val="00E03465"/>
    <w:rsid w:val="00E03844"/>
    <w:rsid w:val="00E05816"/>
    <w:rsid w:val="00E06DA2"/>
    <w:rsid w:val="00E1017C"/>
    <w:rsid w:val="00E1166E"/>
    <w:rsid w:val="00E11751"/>
    <w:rsid w:val="00E11E9C"/>
    <w:rsid w:val="00E12576"/>
    <w:rsid w:val="00E131C2"/>
    <w:rsid w:val="00E1369E"/>
    <w:rsid w:val="00E14000"/>
    <w:rsid w:val="00E141B4"/>
    <w:rsid w:val="00E2021E"/>
    <w:rsid w:val="00E204F6"/>
    <w:rsid w:val="00E20D30"/>
    <w:rsid w:val="00E211C0"/>
    <w:rsid w:val="00E212E0"/>
    <w:rsid w:val="00E228D3"/>
    <w:rsid w:val="00E23B7C"/>
    <w:rsid w:val="00E24EDD"/>
    <w:rsid w:val="00E24F06"/>
    <w:rsid w:val="00E252F7"/>
    <w:rsid w:val="00E25ED6"/>
    <w:rsid w:val="00E26CCF"/>
    <w:rsid w:val="00E2711D"/>
    <w:rsid w:val="00E2742B"/>
    <w:rsid w:val="00E274A1"/>
    <w:rsid w:val="00E30E07"/>
    <w:rsid w:val="00E3255C"/>
    <w:rsid w:val="00E33E92"/>
    <w:rsid w:val="00E3471A"/>
    <w:rsid w:val="00E3548C"/>
    <w:rsid w:val="00E356C1"/>
    <w:rsid w:val="00E3672F"/>
    <w:rsid w:val="00E36BF7"/>
    <w:rsid w:val="00E37035"/>
    <w:rsid w:val="00E40573"/>
    <w:rsid w:val="00E40D4F"/>
    <w:rsid w:val="00E40F0A"/>
    <w:rsid w:val="00E41AC9"/>
    <w:rsid w:val="00E423A9"/>
    <w:rsid w:val="00E42DF4"/>
    <w:rsid w:val="00E433BA"/>
    <w:rsid w:val="00E43AB1"/>
    <w:rsid w:val="00E43E89"/>
    <w:rsid w:val="00E44280"/>
    <w:rsid w:val="00E44447"/>
    <w:rsid w:val="00E4632D"/>
    <w:rsid w:val="00E4689D"/>
    <w:rsid w:val="00E47D48"/>
    <w:rsid w:val="00E47F71"/>
    <w:rsid w:val="00E501DA"/>
    <w:rsid w:val="00E5050C"/>
    <w:rsid w:val="00E506EE"/>
    <w:rsid w:val="00E5071B"/>
    <w:rsid w:val="00E52045"/>
    <w:rsid w:val="00E5234A"/>
    <w:rsid w:val="00E5380F"/>
    <w:rsid w:val="00E53ED6"/>
    <w:rsid w:val="00E55316"/>
    <w:rsid w:val="00E557EE"/>
    <w:rsid w:val="00E5642C"/>
    <w:rsid w:val="00E56E1D"/>
    <w:rsid w:val="00E56F17"/>
    <w:rsid w:val="00E607D3"/>
    <w:rsid w:val="00E60A2E"/>
    <w:rsid w:val="00E60E89"/>
    <w:rsid w:val="00E6179C"/>
    <w:rsid w:val="00E62EC2"/>
    <w:rsid w:val="00E631B2"/>
    <w:rsid w:val="00E6360A"/>
    <w:rsid w:val="00E641F5"/>
    <w:rsid w:val="00E6422E"/>
    <w:rsid w:val="00E646C5"/>
    <w:rsid w:val="00E64FA1"/>
    <w:rsid w:val="00E651E3"/>
    <w:rsid w:val="00E6609D"/>
    <w:rsid w:val="00E662A8"/>
    <w:rsid w:val="00E665E9"/>
    <w:rsid w:val="00E67447"/>
    <w:rsid w:val="00E711C0"/>
    <w:rsid w:val="00E71C1B"/>
    <w:rsid w:val="00E72D8B"/>
    <w:rsid w:val="00E72E92"/>
    <w:rsid w:val="00E736F6"/>
    <w:rsid w:val="00E73B34"/>
    <w:rsid w:val="00E750EB"/>
    <w:rsid w:val="00E756D0"/>
    <w:rsid w:val="00E76063"/>
    <w:rsid w:val="00E7648E"/>
    <w:rsid w:val="00E76A4F"/>
    <w:rsid w:val="00E76D8F"/>
    <w:rsid w:val="00E777C6"/>
    <w:rsid w:val="00E8048B"/>
    <w:rsid w:val="00E808E2"/>
    <w:rsid w:val="00E8248D"/>
    <w:rsid w:val="00E8429D"/>
    <w:rsid w:val="00E843B5"/>
    <w:rsid w:val="00E84A18"/>
    <w:rsid w:val="00E857A6"/>
    <w:rsid w:val="00E869D8"/>
    <w:rsid w:val="00E86D21"/>
    <w:rsid w:val="00E86E35"/>
    <w:rsid w:val="00E87791"/>
    <w:rsid w:val="00E90706"/>
    <w:rsid w:val="00E91333"/>
    <w:rsid w:val="00E92A3F"/>
    <w:rsid w:val="00E92B12"/>
    <w:rsid w:val="00E9304C"/>
    <w:rsid w:val="00E93434"/>
    <w:rsid w:val="00E9371D"/>
    <w:rsid w:val="00E94EE7"/>
    <w:rsid w:val="00E960E2"/>
    <w:rsid w:val="00EA03BD"/>
    <w:rsid w:val="00EA09B6"/>
    <w:rsid w:val="00EA10DD"/>
    <w:rsid w:val="00EA1119"/>
    <w:rsid w:val="00EA170B"/>
    <w:rsid w:val="00EA1FD8"/>
    <w:rsid w:val="00EA283E"/>
    <w:rsid w:val="00EA3023"/>
    <w:rsid w:val="00EA3C3D"/>
    <w:rsid w:val="00EA41CA"/>
    <w:rsid w:val="00EA4DB5"/>
    <w:rsid w:val="00EA4F46"/>
    <w:rsid w:val="00EA5144"/>
    <w:rsid w:val="00EA610F"/>
    <w:rsid w:val="00EA614E"/>
    <w:rsid w:val="00EA6492"/>
    <w:rsid w:val="00EA66CA"/>
    <w:rsid w:val="00EB044C"/>
    <w:rsid w:val="00EB0812"/>
    <w:rsid w:val="00EB155B"/>
    <w:rsid w:val="00EB15C9"/>
    <w:rsid w:val="00EB269C"/>
    <w:rsid w:val="00EB2FF9"/>
    <w:rsid w:val="00EB3C1A"/>
    <w:rsid w:val="00EB414F"/>
    <w:rsid w:val="00EB48DF"/>
    <w:rsid w:val="00EB4B78"/>
    <w:rsid w:val="00EB62A9"/>
    <w:rsid w:val="00EB722C"/>
    <w:rsid w:val="00EB72A9"/>
    <w:rsid w:val="00EB787F"/>
    <w:rsid w:val="00EB7C09"/>
    <w:rsid w:val="00EC03D4"/>
    <w:rsid w:val="00EC0CC2"/>
    <w:rsid w:val="00EC1333"/>
    <w:rsid w:val="00EC13AC"/>
    <w:rsid w:val="00EC151E"/>
    <w:rsid w:val="00EC1674"/>
    <w:rsid w:val="00EC1730"/>
    <w:rsid w:val="00EC201F"/>
    <w:rsid w:val="00EC2927"/>
    <w:rsid w:val="00EC3476"/>
    <w:rsid w:val="00EC37DC"/>
    <w:rsid w:val="00EC3C9C"/>
    <w:rsid w:val="00EC4F94"/>
    <w:rsid w:val="00EC543F"/>
    <w:rsid w:val="00EC6D16"/>
    <w:rsid w:val="00EC70F3"/>
    <w:rsid w:val="00EC734C"/>
    <w:rsid w:val="00EC78D1"/>
    <w:rsid w:val="00ED050C"/>
    <w:rsid w:val="00ED0CD0"/>
    <w:rsid w:val="00ED11F2"/>
    <w:rsid w:val="00ED15FE"/>
    <w:rsid w:val="00ED19AD"/>
    <w:rsid w:val="00ED1A36"/>
    <w:rsid w:val="00ED2A1B"/>
    <w:rsid w:val="00ED2D57"/>
    <w:rsid w:val="00ED2E7D"/>
    <w:rsid w:val="00ED33E2"/>
    <w:rsid w:val="00ED33F0"/>
    <w:rsid w:val="00ED4820"/>
    <w:rsid w:val="00ED542E"/>
    <w:rsid w:val="00ED5D18"/>
    <w:rsid w:val="00ED663D"/>
    <w:rsid w:val="00ED6985"/>
    <w:rsid w:val="00ED6E84"/>
    <w:rsid w:val="00ED73F7"/>
    <w:rsid w:val="00ED7610"/>
    <w:rsid w:val="00ED7ABA"/>
    <w:rsid w:val="00EE0CA4"/>
    <w:rsid w:val="00EE1174"/>
    <w:rsid w:val="00EE1359"/>
    <w:rsid w:val="00EE1ECB"/>
    <w:rsid w:val="00EE299E"/>
    <w:rsid w:val="00EE2BD6"/>
    <w:rsid w:val="00EE2E6E"/>
    <w:rsid w:val="00EE2F3C"/>
    <w:rsid w:val="00EE2F88"/>
    <w:rsid w:val="00EE325A"/>
    <w:rsid w:val="00EE3436"/>
    <w:rsid w:val="00EE3E47"/>
    <w:rsid w:val="00EE4AD1"/>
    <w:rsid w:val="00EE5481"/>
    <w:rsid w:val="00EE602E"/>
    <w:rsid w:val="00EE63D1"/>
    <w:rsid w:val="00EE759C"/>
    <w:rsid w:val="00EF01CD"/>
    <w:rsid w:val="00EF0625"/>
    <w:rsid w:val="00EF0986"/>
    <w:rsid w:val="00EF12F8"/>
    <w:rsid w:val="00EF16DD"/>
    <w:rsid w:val="00EF1AE9"/>
    <w:rsid w:val="00EF228D"/>
    <w:rsid w:val="00EF313A"/>
    <w:rsid w:val="00EF6F31"/>
    <w:rsid w:val="00EF774B"/>
    <w:rsid w:val="00EF7834"/>
    <w:rsid w:val="00EF7F0C"/>
    <w:rsid w:val="00F00225"/>
    <w:rsid w:val="00F02337"/>
    <w:rsid w:val="00F030A3"/>
    <w:rsid w:val="00F043C8"/>
    <w:rsid w:val="00F04DEC"/>
    <w:rsid w:val="00F0523F"/>
    <w:rsid w:val="00F0551C"/>
    <w:rsid w:val="00F05524"/>
    <w:rsid w:val="00F05ABE"/>
    <w:rsid w:val="00F06A4D"/>
    <w:rsid w:val="00F079E0"/>
    <w:rsid w:val="00F07F1A"/>
    <w:rsid w:val="00F1027C"/>
    <w:rsid w:val="00F105C3"/>
    <w:rsid w:val="00F10F61"/>
    <w:rsid w:val="00F12467"/>
    <w:rsid w:val="00F12A1F"/>
    <w:rsid w:val="00F13AB9"/>
    <w:rsid w:val="00F13C03"/>
    <w:rsid w:val="00F1460F"/>
    <w:rsid w:val="00F14988"/>
    <w:rsid w:val="00F14BA1"/>
    <w:rsid w:val="00F16DC8"/>
    <w:rsid w:val="00F225AE"/>
    <w:rsid w:val="00F2439C"/>
    <w:rsid w:val="00F24839"/>
    <w:rsid w:val="00F2494A"/>
    <w:rsid w:val="00F250C0"/>
    <w:rsid w:val="00F254A0"/>
    <w:rsid w:val="00F25E53"/>
    <w:rsid w:val="00F26203"/>
    <w:rsid w:val="00F263F6"/>
    <w:rsid w:val="00F27579"/>
    <w:rsid w:val="00F27B5A"/>
    <w:rsid w:val="00F30C0F"/>
    <w:rsid w:val="00F30D01"/>
    <w:rsid w:val="00F3208A"/>
    <w:rsid w:val="00F325BD"/>
    <w:rsid w:val="00F32733"/>
    <w:rsid w:val="00F32C6E"/>
    <w:rsid w:val="00F33E64"/>
    <w:rsid w:val="00F34189"/>
    <w:rsid w:val="00F354F6"/>
    <w:rsid w:val="00F3558B"/>
    <w:rsid w:val="00F35BCD"/>
    <w:rsid w:val="00F35EF5"/>
    <w:rsid w:val="00F36A2B"/>
    <w:rsid w:val="00F36A32"/>
    <w:rsid w:val="00F36DD7"/>
    <w:rsid w:val="00F373D4"/>
    <w:rsid w:val="00F41539"/>
    <w:rsid w:val="00F41CF6"/>
    <w:rsid w:val="00F4277B"/>
    <w:rsid w:val="00F42C26"/>
    <w:rsid w:val="00F449CB"/>
    <w:rsid w:val="00F44D77"/>
    <w:rsid w:val="00F44E40"/>
    <w:rsid w:val="00F45BF1"/>
    <w:rsid w:val="00F4600C"/>
    <w:rsid w:val="00F46CDD"/>
    <w:rsid w:val="00F46DD2"/>
    <w:rsid w:val="00F46DFC"/>
    <w:rsid w:val="00F47591"/>
    <w:rsid w:val="00F476D2"/>
    <w:rsid w:val="00F47F23"/>
    <w:rsid w:val="00F50652"/>
    <w:rsid w:val="00F51470"/>
    <w:rsid w:val="00F52256"/>
    <w:rsid w:val="00F5253D"/>
    <w:rsid w:val="00F53227"/>
    <w:rsid w:val="00F533B5"/>
    <w:rsid w:val="00F53623"/>
    <w:rsid w:val="00F53F4A"/>
    <w:rsid w:val="00F54040"/>
    <w:rsid w:val="00F544B4"/>
    <w:rsid w:val="00F54DF2"/>
    <w:rsid w:val="00F55675"/>
    <w:rsid w:val="00F560BF"/>
    <w:rsid w:val="00F565EA"/>
    <w:rsid w:val="00F56C75"/>
    <w:rsid w:val="00F56D06"/>
    <w:rsid w:val="00F56E83"/>
    <w:rsid w:val="00F5720F"/>
    <w:rsid w:val="00F57235"/>
    <w:rsid w:val="00F5765A"/>
    <w:rsid w:val="00F60567"/>
    <w:rsid w:val="00F617DD"/>
    <w:rsid w:val="00F62660"/>
    <w:rsid w:val="00F6277A"/>
    <w:rsid w:val="00F62F11"/>
    <w:rsid w:val="00F63CB0"/>
    <w:rsid w:val="00F650CB"/>
    <w:rsid w:val="00F6580D"/>
    <w:rsid w:val="00F658B3"/>
    <w:rsid w:val="00F65C15"/>
    <w:rsid w:val="00F66575"/>
    <w:rsid w:val="00F66813"/>
    <w:rsid w:val="00F66865"/>
    <w:rsid w:val="00F6686A"/>
    <w:rsid w:val="00F67326"/>
    <w:rsid w:val="00F673DB"/>
    <w:rsid w:val="00F674C4"/>
    <w:rsid w:val="00F67C53"/>
    <w:rsid w:val="00F700F2"/>
    <w:rsid w:val="00F708B4"/>
    <w:rsid w:val="00F70978"/>
    <w:rsid w:val="00F70EDC"/>
    <w:rsid w:val="00F71063"/>
    <w:rsid w:val="00F711EB"/>
    <w:rsid w:val="00F71A73"/>
    <w:rsid w:val="00F72599"/>
    <w:rsid w:val="00F72941"/>
    <w:rsid w:val="00F73799"/>
    <w:rsid w:val="00F73A54"/>
    <w:rsid w:val="00F73D78"/>
    <w:rsid w:val="00F743D1"/>
    <w:rsid w:val="00F74953"/>
    <w:rsid w:val="00F74A01"/>
    <w:rsid w:val="00F7590D"/>
    <w:rsid w:val="00F75E01"/>
    <w:rsid w:val="00F75F9F"/>
    <w:rsid w:val="00F770A1"/>
    <w:rsid w:val="00F779D7"/>
    <w:rsid w:val="00F80F58"/>
    <w:rsid w:val="00F81320"/>
    <w:rsid w:val="00F815DB"/>
    <w:rsid w:val="00F820C2"/>
    <w:rsid w:val="00F821C7"/>
    <w:rsid w:val="00F8264F"/>
    <w:rsid w:val="00F83710"/>
    <w:rsid w:val="00F83D54"/>
    <w:rsid w:val="00F83EEC"/>
    <w:rsid w:val="00F84972"/>
    <w:rsid w:val="00F84A2D"/>
    <w:rsid w:val="00F86E8D"/>
    <w:rsid w:val="00F87C2B"/>
    <w:rsid w:val="00F87E95"/>
    <w:rsid w:val="00F87EFA"/>
    <w:rsid w:val="00F92F42"/>
    <w:rsid w:val="00F92F7E"/>
    <w:rsid w:val="00F9316E"/>
    <w:rsid w:val="00F932B3"/>
    <w:rsid w:val="00F9354C"/>
    <w:rsid w:val="00F93CF4"/>
    <w:rsid w:val="00F94C81"/>
    <w:rsid w:val="00F954F5"/>
    <w:rsid w:val="00F957A8"/>
    <w:rsid w:val="00F96251"/>
    <w:rsid w:val="00F9634D"/>
    <w:rsid w:val="00F966EE"/>
    <w:rsid w:val="00F96B45"/>
    <w:rsid w:val="00F979AD"/>
    <w:rsid w:val="00FA08E4"/>
    <w:rsid w:val="00FA1B8E"/>
    <w:rsid w:val="00FA2765"/>
    <w:rsid w:val="00FA298B"/>
    <w:rsid w:val="00FA2D31"/>
    <w:rsid w:val="00FA2F8A"/>
    <w:rsid w:val="00FA39AA"/>
    <w:rsid w:val="00FA426C"/>
    <w:rsid w:val="00FA4898"/>
    <w:rsid w:val="00FA4A3E"/>
    <w:rsid w:val="00FA6CA9"/>
    <w:rsid w:val="00FA6F8F"/>
    <w:rsid w:val="00FA773A"/>
    <w:rsid w:val="00FB1D63"/>
    <w:rsid w:val="00FB27F9"/>
    <w:rsid w:val="00FB28AB"/>
    <w:rsid w:val="00FB3F0E"/>
    <w:rsid w:val="00FB405D"/>
    <w:rsid w:val="00FB4868"/>
    <w:rsid w:val="00FB4B78"/>
    <w:rsid w:val="00FB5891"/>
    <w:rsid w:val="00FB594E"/>
    <w:rsid w:val="00FB5FC2"/>
    <w:rsid w:val="00FB6226"/>
    <w:rsid w:val="00FC01DC"/>
    <w:rsid w:val="00FC05BD"/>
    <w:rsid w:val="00FC379F"/>
    <w:rsid w:val="00FC3F2A"/>
    <w:rsid w:val="00FC4A74"/>
    <w:rsid w:val="00FC5693"/>
    <w:rsid w:val="00FC5EFA"/>
    <w:rsid w:val="00FC5F13"/>
    <w:rsid w:val="00FC5F35"/>
    <w:rsid w:val="00FC6453"/>
    <w:rsid w:val="00FC64BF"/>
    <w:rsid w:val="00FC6D3D"/>
    <w:rsid w:val="00FD03E1"/>
    <w:rsid w:val="00FD0428"/>
    <w:rsid w:val="00FD075B"/>
    <w:rsid w:val="00FD0CE7"/>
    <w:rsid w:val="00FD1557"/>
    <w:rsid w:val="00FD2F8F"/>
    <w:rsid w:val="00FD304C"/>
    <w:rsid w:val="00FD3356"/>
    <w:rsid w:val="00FD3706"/>
    <w:rsid w:val="00FD3C31"/>
    <w:rsid w:val="00FD448A"/>
    <w:rsid w:val="00FD5F89"/>
    <w:rsid w:val="00FD7D94"/>
    <w:rsid w:val="00FD7EE9"/>
    <w:rsid w:val="00FE142A"/>
    <w:rsid w:val="00FE187A"/>
    <w:rsid w:val="00FE339B"/>
    <w:rsid w:val="00FE37E0"/>
    <w:rsid w:val="00FE54F0"/>
    <w:rsid w:val="00FE6827"/>
    <w:rsid w:val="00FE704B"/>
    <w:rsid w:val="00FE7366"/>
    <w:rsid w:val="00FF306D"/>
    <w:rsid w:val="00FF4BA8"/>
    <w:rsid w:val="00FF4DC8"/>
    <w:rsid w:val="00FF4E6E"/>
    <w:rsid w:val="00FF520E"/>
    <w:rsid w:val="00FF6132"/>
    <w:rsid w:val="00FF6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7"/>
    <w:rPr>
      <w:sz w:val="24"/>
      <w:szCs w:val="24"/>
      <w:lang w:val="ru-RU" w:eastAsia="ru-RU"/>
    </w:rPr>
  </w:style>
  <w:style w:type="paragraph" w:styleId="2">
    <w:name w:val="heading 2"/>
    <w:basedOn w:val="a"/>
    <w:link w:val="20"/>
    <w:uiPriority w:val="99"/>
    <w:qFormat/>
    <w:rsid w:val="006B6D8E"/>
    <w:pPr>
      <w:spacing w:before="100" w:beforeAutospacing="1" w:after="100" w:afterAutospacing="1"/>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C6026"/>
    <w:rPr>
      <w:rFonts w:ascii="Cambria" w:hAnsi="Cambria" w:cs="Times New Roman"/>
      <w:b/>
      <w:i/>
      <w:sz w:val="28"/>
      <w:lang w:val="ru-RU" w:eastAsia="ru-RU"/>
    </w:rPr>
  </w:style>
  <w:style w:type="paragraph" w:customStyle="1" w:styleId="Style19">
    <w:name w:val="Style19"/>
    <w:basedOn w:val="a"/>
    <w:uiPriority w:val="99"/>
    <w:rsid w:val="006B6D8E"/>
    <w:pPr>
      <w:widowControl w:val="0"/>
      <w:autoSpaceDE w:val="0"/>
      <w:autoSpaceDN w:val="0"/>
      <w:adjustRightInd w:val="0"/>
      <w:spacing w:line="288" w:lineRule="exact"/>
      <w:ind w:firstLine="706"/>
    </w:pPr>
  </w:style>
  <w:style w:type="character" w:customStyle="1" w:styleId="FontStyle37">
    <w:name w:val="Font Style37"/>
    <w:uiPriority w:val="99"/>
    <w:rsid w:val="006B6D8E"/>
    <w:rPr>
      <w:rFonts w:ascii="Times New Roman" w:hAnsi="Times New Roman"/>
      <w:b/>
      <w:sz w:val="22"/>
    </w:rPr>
  </w:style>
  <w:style w:type="paragraph" w:customStyle="1" w:styleId="1">
    <w:name w:val="Знак1 Знак Знак Знак Знак Знак Знак Знак Знак Знак"/>
    <w:basedOn w:val="a"/>
    <w:uiPriority w:val="99"/>
    <w:rsid w:val="006B6D8E"/>
    <w:rPr>
      <w:rFonts w:ascii="Verdana" w:hAnsi="Verdana" w:cs="Verdana"/>
      <w:sz w:val="20"/>
      <w:szCs w:val="20"/>
      <w:lang w:val="en-US" w:eastAsia="en-US"/>
    </w:rPr>
  </w:style>
  <w:style w:type="paragraph" w:customStyle="1" w:styleId="a3">
    <w:name w:val="Знак Знак Знак Знак Знак Знак Знак Знак Знак Знак Знак Знак Знак Знак Знак Знак"/>
    <w:basedOn w:val="a"/>
    <w:uiPriority w:val="99"/>
    <w:rsid w:val="006B6D8E"/>
    <w:rPr>
      <w:rFonts w:ascii="Verdana" w:hAnsi="Verdana" w:cs="Verdana"/>
      <w:sz w:val="20"/>
      <w:szCs w:val="20"/>
      <w:lang w:val="en-US" w:eastAsia="en-US"/>
    </w:rPr>
  </w:style>
  <w:style w:type="paragraph" w:customStyle="1" w:styleId="a4">
    <w:name w:val="Знак"/>
    <w:basedOn w:val="a"/>
    <w:uiPriority w:val="99"/>
    <w:rsid w:val="006B6D8E"/>
    <w:rPr>
      <w:rFonts w:ascii="Verdana" w:hAnsi="Verdana"/>
      <w:sz w:val="20"/>
      <w:szCs w:val="20"/>
      <w:lang w:val="en-US" w:eastAsia="en-US"/>
    </w:rPr>
  </w:style>
  <w:style w:type="paragraph" w:styleId="a5">
    <w:name w:val="Body Text"/>
    <w:basedOn w:val="a"/>
    <w:link w:val="a6"/>
    <w:uiPriority w:val="99"/>
    <w:rsid w:val="006B6D8E"/>
    <w:pPr>
      <w:ind w:right="-1044"/>
      <w:jc w:val="center"/>
    </w:pPr>
    <w:rPr>
      <w:szCs w:val="20"/>
    </w:rPr>
  </w:style>
  <w:style w:type="character" w:customStyle="1" w:styleId="a6">
    <w:name w:val="Основной текст Знак"/>
    <w:basedOn w:val="a0"/>
    <w:link w:val="a5"/>
    <w:uiPriority w:val="99"/>
    <w:semiHidden/>
    <w:locked/>
    <w:rsid w:val="009C6026"/>
    <w:rPr>
      <w:rFonts w:cs="Times New Roman"/>
      <w:sz w:val="24"/>
      <w:lang w:val="ru-RU" w:eastAsia="ru-RU"/>
    </w:rPr>
  </w:style>
  <w:style w:type="paragraph" w:styleId="a7">
    <w:name w:val="Body Text Indent"/>
    <w:basedOn w:val="a"/>
    <w:link w:val="a8"/>
    <w:uiPriority w:val="99"/>
    <w:rsid w:val="006B6D8E"/>
    <w:pPr>
      <w:spacing w:after="120"/>
      <w:ind w:left="283"/>
    </w:pPr>
    <w:rPr>
      <w:szCs w:val="20"/>
    </w:rPr>
  </w:style>
  <w:style w:type="character" w:customStyle="1" w:styleId="a8">
    <w:name w:val="Основной текст с отступом Знак"/>
    <w:basedOn w:val="a0"/>
    <w:link w:val="a7"/>
    <w:uiPriority w:val="99"/>
    <w:semiHidden/>
    <w:locked/>
    <w:rsid w:val="009C6026"/>
    <w:rPr>
      <w:rFonts w:cs="Times New Roman"/>
      <w:sz w:val="24"/>
      <w:lang w:val="ru-RU" w:eastAsia="ru-RU"/>
    </w:rPr>
  </w:style>
  <w:style w:type="paragraph" w:styleId="HTML">
    <w:name w:val="HTML Preformatted"/>
    <w:basedOn w:val="a"/>
    <w:link w:val="HTML0"/>
    <w:uiPriority w:val="99"/>
    <w:rsid w:val="006B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9C6026"/>
    <w:rPr>
      <w:rFonts w:ascii="Courier New" w:hAnsi="Courier New" w:cs="Times New Roman"/>
      <w:sz w:val="20"/>
      <w:lang w:val="ru-RU" w:eastAsia="ru-RU"/>
    </w:rPr>
  </w:style>
  <w:style w:type="table" w:styleId="a9">
    <w:name w:val="Table Grid"/>
    <w:basedOn w:val="a1"/>
    <w:uiPriority w:val="99"/>
    <w:rsid w:val="006B6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6B6D8E"/>
    <w:pPr>
      <w:tabs>
        <w:tab w:val="center" w:pos="4677"/>
        <w:tab w:val="right" w:pos="9355"/>
      </w:tabs>
    </w:pPr>
    <w:rPr>
      <w:szCs w:val="20"/>
    </w:rPr>
  </w:style>
  <w:style w:type="character" w:customStyle="1" w:styleId="ab">
    <w:name w:val="Нижний колонтитул Знак"/>
    <w:basedOn w:val="a0"/>
    <w:link w:val="aa"/>
    <w:uiPriority w:val="99"/>
    <w:semiHidden/>
    <w:locked/>
    <w:rsid w:val="009C6026"/>
    <w:rPr>
      <w:rFonts w:cs="Times New Roman"/>
      <w:sz w:val="24"/>
      <w:lang w:val="ru-RU" w:eastAsia="ru-RU"/>
    </w:rPr>
  </w:style>
  <w:style w:type="character" w:styleId="ac">
    <w:name w:val="page number"/>
    <w:basedOn w:val="a0"/>
    <w:uiPriority w:val="99"/>
    <w:rsid w:val="006B6D8E"/>
    <w:rPr>
      <w:rFonts w:cs="Times New Roman"/>
    </w:rPr>
  </w:style>
  <w:style w:type="paragraph" w:styleId="ad">
    <w:name w:val="footnote text"/>
    <w:basedOn w:val="a"/>
    <w:link w:val="ae"/>
    <w:uiPriority w:val="99"/>
    <w:semiHidden/>
    <w:rsid w:val="006B6D8E"/>
    <w:rPr>
      <w:sz w:val="20"/>
      <w:szCs w:val="20"/>
      <w:lang w:val="uk-UA" w:eastAsia="uk-UA"/>
    </w:rPr>
  </w:style>
  <w:style w:type="character" w:customStyle="1" w:styleId="ae">
    <w:name w:val="Текст сноски Знак"/>
    <w:basedOn w:val="a0"/>
    <w:link w:val="ad"/>
    <w:uiPriority w:val="99"/>
    <w:semiHidden/>
    <w:locked/>
    <w:rsid w:val="006474B3"/>
    <w:rPr>
      <w:rFonts w:cs="Times New Roman"/>
    </w:rPr>
  </w:style>
  <w:style w:type="character" w:styleId="af">
    <w:name w:val="footnote reference"/>
    <w:basedOn w:val="a0"/>
    <w:uiPriority w:val="99"/>
    <w:semiHidden/>
    <w:rsid w:val="006B6D8E"/>
    <w:rPr>
      <w:rFonts w:cs="Times New Roman"/>
      <w:vertAlign w:val="superscript"/>
    </w:rPr>
  </w:style>
  <w:style w:type="paragraph" w:customStyle="1" w:styleId="10">
    <w:name w:val="1"/>
    <w:basedOn w:val="a"/>
    <w:uiPriority w:val="99"/>
    <w:rsid w:val="006B6D8E"/>
    <w:rPr>
      <w:rFonts w:ascii="Verdana" w:hAnsi="Verdana" w:cs="Verdana"/>
      <w:sz w:val="20"/>
      <w:szCs w:val="20"/>
      <w:lang w:val="en-US" w:eastAsia="en-US"/>
    </w:rPr>
  </w:style>
  <w:style w:type="paragraph" w:styleId="af0">
    <w:name w:val="Balloon Text"/>
    <w:basedOn w:val="a"/>
    <w:link w:val="af1"/>
    <w:uiPriority w:val="99"/>
    <w:semiHidden/>
    <w:rsid w:val="006B6D8E"/>
    <w:rPr>
      <w:sz w:val="2"/>
      <w:szCs w:val="20"/>
    </w:rPr>
  </w:style>
  <w:style w:type="character" w:customStyle="1" w:styleId="af1">
    <w:name w:val="Текст выноски Знак"/>
    <w:basedOn w:val="a0"/>
    <w:link w:val="af0"/>
    <w:uiPriority w:val="99"/>
    <w:semiHidden/>
    <w:locked/>
    <w:rsid w:val="009C6026"/>
    <w:rPr>
      <w:rFonts w:cs="Times New Roman"/>
      <w:sz w:val="2"/>
      <w:lang w:val="ru-RU" w:eastAsia="ru-RU"/>
    </w:rPr>
  </w:style>
  <w:style w:type="paragraph" w:styleId="af2">
    <w:name w:val="header"/>
    <w:basedOn w:val="a"/>
    <w:link w:val="af3"/>
    <w:uiPriority w:val="99"/>
    <w:rsid w:val="006B6D8E"/>
    <w:pPr>
      <w:tabs>
        <w:tab w:val="center" w:pos="4677"/>
        <w:tab w:val="right" w:pos="9355"/>
      </w:tabs>
    </w:pPr>
    <w:rPr>
      <w:szCs w:val="20"/>
    </w:rPr>
  </w:style>
  <w:style w:type="character" w:customStyle="1" w:styleId="af3">
    <w:name w:val="Верхний колонтитул Знак"/>
    <w:basedOn w:val="a0"/>
    <w:link w:val="af2"/>
    <w:uiPriority w:val="99"/>
    <w:semiHidden/>
    <w:locked/>
    <w:rsid w:val="009C6026"/>
    <w:rPr>
      <w:rFonts w:cs="Times New Roman"/>
      <w:sz w:val="24"/>
      <w:lang w:val="ru-RU" w:eastAsia="ru-RU"/>
    </w:rPr>
  </w:style>
  <w:style w:type="character" w:styleId="af4">
    <w:name w:val="Hyperlink"/>
    <w:basedOn w:val="a0"/>
    <w:uiPriority w:val="99"/>
    <w:rsid w:val="006B6D8E"/>
    <w:rPr>
      <w:rFonts w:cs="Times New Roman"/>
      <w:color w:val="0000FF"/>
      <w:u w:val="single"/>
    </w:rPr>
  </w:style>
  <w:style w:type="paragraph" w:styleId="21">
    <w:name w:val="Body Text Indent 2"/>
    <w:basedOn w:val="a"/>
    <w:link w:val="22"/>
    <w:uiPriority w:val="99"/>
    <w:rsid w:val="006B6D8E"/>
    <w:pPr>
      <w:spacing w:after="120" w:line="480" w:lineRule="auto"/>
      <w:ind w:left="283"/>
    </w:pPr>
    <w:rPr>
      <w:szCs w:val="20"/>
    </w:rPr>
  </w:style>
  <w:style w:type="character" w:customStyle="1" w:styleId="22">
    <w:name w:val="Основной текст с отступом 2 Знак"/>
    <w:basedOn w:val="a0"/>
    <w:link w:val="21"/>
    <w:uiPriority w:val="99"/>
    <w:locked/>
    <w:rsid w:val="00AC45D7"/>
    <w:rPr>
      <w:rFonts w:cs="Times New Roman"/>
      <w:sz w:val="24"/>
      <w:lang w:val="ru-RU" w:eastAsia="ru-RU"/>
    </w:rPr>
  </w:style>
  <w:style w:type="paragraph" w:customStyle="1" w:styleId="af5">
    <w:name w:val="Знак Знак Знак"/>
    <w:basedOn w:val="a"/>
    <w:uiPriority w:val="99"/>
    <w:rsid w:val="006B6D8E"/>
    <w:rPr>
      <w:rFonts w:ascii="Verdana" w:hAnsi="Verdana"/>
      <w:sz w:val="20"/>
      <w:szCs w:val="20"/>
      <w:lang w:val="en-US" w:eastAsia="en-US"/>
    </w:rPr>
  </w:style>
  <w:style w:type="paragraph" w:customStyle="1" w:styleId="11">
    <w:name w:val="Знак Знак Знак1 Знак Знак Знак Знак"/>
    <w:basedOn w:val="a"/>
    <w:uiPriority w:val="99"/>
    <w:rsid w:val="006B6D8E"/>
    <w:rPr>
      <w:rFonts w:ascii="Verdana" w:hAnsi="Verdana"/>
      <w:sz w:val="20"/>
      <w:szCs w:val="20"/>
      <w:lang w:val="en-US" w:eastAsia="en-US"/>
    </w:rPr>
  </w:style>
  <w:style w:type="paragraph" w:customStyle="1" w:styleId="12">
    <w:name w:val="Знак Знак Знак1 Знак Знак Знак Знак Знак Знак Знак"/>
    <w:basedOn w:val="a"/>
    <w:uiPriority w:val="99"/>
    <w:rsid w:val="006B6D8E"/>
    <w:rPr>
      <w:rFonts w:ascii="Verdana" w:hAnsi="Verdana"/>
      <w:sz w:val="20"/>
      <w:szCs w:val="20"/>
      <w:lang w:val="en-US" w:eastAsia="en-US"/>
    </w:rPr>
  </w:style>
  <w:style w:type="paragraph" w:customStyle="1" w:styleId="13">
    <w:name w:val="Знак Знак Знак1 Знак Знак Знак Знак Знак Знак"/>
    <w:basedOn w:val="a"/>
    <w:uiPriority w:val="99"/>
    <w:rsid w:val="006B6D8E"/>
    <w:rPr>
      <w:rFonts w:ascii="Verdana" w:hAnsi="Verdana"/>
      <w:sz w:val="20"/>
      <w:szCs w:val="20"/>
      <w:lang w:val="en-US" w:eastAsia="en-US"/>
    </w:rPr>
  </w:style>
  <w:style w:type="paragraph" w:customStyle="1" w:styleId="Default">
    <w:name w:val="Default"/>
    <w:uiPriority w:val="99"/>
    <w:rsid w:val="006B6D8E"/>
    <w:pPr>
      <w:autoSpaceDE w:val="0"/>
      <w:autoSpaceDN w:val="0"/>
      <w:adjustRightInd w:val="0"/>
    </w:pPr>
    <w:rPr>
      <w:color w:val="000000"/>
      <w:sz w:val="24"/>
      <w:szCs w:val="24"/>
      <w:lang w:val="ru-RU" w:eastAsia="ru-RU"/>
    </w:rPr>
  </w:style>
  <w:style w:type="paragraph" w:customStyle="1" w:styleId="af6">
    <w:name w:val="Знак Знак"/>
    <w:basedOn w:val="a"/>
    <w:uiPriority w:val="99"/>
    <w:rsid w:val="006B6D8E"/>
    <w:rPr>
      <w:rFonts w:ascii="Verdana" w:hAnsi="Verdana"/>
      <w:sz w:val="20"/>
      <w:szCs w:val="20"/>
      <w:lang w:val="en-US" w:eastAsia="en-US"/>
    </w:rPr>
  </w:style>
  <w:style w:type="paragraph" w:customStyle="1" w:styleId="110">
    <w:name w:val="Знак Знак Знак1 Знак Знак Знак Знак Знак Знак1"/>
    <w:basedOn w:val="a"/>
    <w:uiPriority w:val="99"/>
    <w:rsid w:val="006B6D8E"/>
    <w:rPr>
      <w:rFonts w:ascii="Verdana" w:hAnsi="Verdana"/>
      <w:sz w:val="20"/>
      <w:szCs w:val="20"/>
      <w:lang w:val="en-US" w:eastAsia="en-US"/>
    </w:rPr>
  </w:style>
  <w:style w:type="paragraph" w:styleId="af7">
    <w:name w:val="Normal (Web)"/>
    <w:basedOn w:val="a"/>
    <w:uiPriority w:val="99"/>
    <w:rsid w:val="006B6D8E"/>
    <w:pPr>
      <w:spacing w:before="100" w:beforeAutospacing="1" w:after="100" w:afterAutospacing="1"/>
    </w:pPr>
  </w:style>
  <w:style w:type="paragraph" w:styleId="af8">
    <w:name w:val="No Spacing"/>
    <w:uiPriority w:val="99"/>
    <w:qFormat/>
    <w:rsid w:val="006B6D8E"/>
    <w:rPr>
      <w:sz w:val="24"/>
      <w:szCs w:val="24"/>
      <w:lang w:val="ru-RU" w:eastAsia="ru-RU"/>
    </w:rPr>
  </w:style>
  <w:style w:type="paragraph" w:customStyle="1" w:styleId="bodytext">
    <w:name w:val="bodytext"/>
    <w:basedOn w:val="a"/>
    <w:uiPriority w:val="99"/>
    <w:rsid w:val="006B6D8E"/>
    <w:pPr>
      <w:spacing w:before="100" w:beforeAutospacing="1" w:after="100" w:afterAutospacing="1"/>
    </w:pPr>
    <w:rPr>
      <w:rFonts w:ascii="Verdana" w:hAnsi="Verdana"/>
      <w:color w:val="000000"/>
      <w:sz w:val="17"/>
      <w:szCs w:val="17"/>
    </w:rPr>
  </w:style>
  <w:style w:type="paragraph" w:customStyle="1" w:styleId="23">
    <w:name w:val="2 Знак Знак Знак Знак Знак Знак Знак Знак Знак Знак Знак Знак Знак Знак Знак"/>
    <w:basedOn w:val="a"/>
    <w:uiPriority w:val="99"/>
    <w:rsid w:val="006B6D8E"/>
    <w:rPr>
      <w:rFonts w:ascii="Verdana" w:hAnsi="Verdana" w:cs="Verdana"/>
      <w:sz w:val="20"/>
      <w:szCs w:val="20"/>
      <w:lang w:val="en-US" w:eastAsia="en-US"/>
    </w:rPr>
  </w:style>
  <w:style w:type="paragraph" w:customStyle="1" w:styleId="af9">
    <w:name w:val="Знак Знак Знак Знак Знак"/>
    <w:basedOn w:val="a"/>
    <w:uiPriority w:val="99"/>
    <w:rsid w:val="006B6D8E"/>
    <w:rPr>
      <w:rFonts w:ascii="Verdana" w:hAnsi="Verdana" w:cs="Verdana"/>
      <w:sz w:val="20"/>
      <w:szCs w:val="20"/>
      <w:lang w:val="en-US" w:eastAsia="en-US"/>
    </w:rPr>
  </w:style>
  <w:style w:type="paragraph" w:customStyle="1" w:styleId="main">
    <w:name w:val="main"/>
    <w:basedOn w:val="a"/>
    <w:uiPriority w:val="99"/>
    <w:rsid w:val="006B6D8E"/>
    <w:pPr>
      <w:widowControl w:val="0"/>
      <w:spacing w:before="100" w:beforeAutospacing="1" w:after="100" w:afterAutospacing="1"/>
      <w:ind w:firstLine="720"/>
      <w:jc w:val="both"/>
    </w:pPr>
    <w:rPr>
      <w:lang w:val="uk-UA" w:eastAsia="uk-UA"/>
    </w:rPr>
  </w:style>
  <w:style w:type="paragraph" w:styleId="afa">
    <w:name w:val="caption"/>
    <w:basedOn w:val="a"/>
    <w:next w:val="a"/>
    <w:uiPriority w:val="99"/>
    <w:qFormat/>
    <w:rsid w:val="006B6D8E"/>
    <w:rPr>
      <w:b/>
      <w:bCs/>
      <w:sz w:val="20"/>
      <w:szCs w:val="20"/>
    </w:rPr>
  </w:style>
  <w:style w:type="paragraph" w:customStyle="1" w:styleId="24">
    <w:name w:val="Знак2 Знак Знак Знак"/>
    <w:basedOn w:val="a"/>
    <w:uiPriority w:val="99"/>
    <w:rsid w:val="006B6D8E"/>
    <w:rPr>
      <w:rFonts w:ascii="Verdana" w:hAnsi="Verdana"/>
      <w:sz w:val="20"/>
      <w:szCs w:val="20"/>
      <w:lang w:val="en-US" w:eastAsia="en-US"/>
    </w:rPr>
  </w:style>
  <w:style w:type="paragraph" w:customStyle="1" w:styleId="14">
    <w:name w:val="Знак Знак Знак1 Знак Знак Знак Знак Знак Знак Знак Знак Знак Знак"/>
    <w:basedOn w:val="a"/>
    <w:uiPriority w:val="99"/>
    <w:rsid w:val="006B6D8E"/>
    <w:rPr>
      <w:rFonts w:ascii="Verdana" w:hAnsi="Verdana"/>
      <w:sz w:val="20"/>
      <w:szCs w:val="20"/>
      <w:lang w:val="en-US" w:eastAsia="en-US"/>
    </w:rPr>
  </w:style>
  <w:style w:type="paragraph" w:customStyle="1" w:styleId="25">
    <w:name w:val="Знак2 Знак Знак"/>
    <w:basedOn w:val="a"/>
    <w:uiPriority w:val="99"/>
    <w:rsid w:val="006B6D8E"/>
    <w:rPr>
      <w:rFonts w:ascii="Verdana" w:hAnsi="Verdana"/>
      <w:sz w:val="20"/>
      <w:szCs w:val="20"/>
      <w:lang w:val="en-US" w:eastAsia="en-US"/>
    </w:rPr>
  </w:style>
  <w:style w:type="paragraph" w:customStyle="1" w:styleId="15">
    <w:name w:val="Знак Знак1"/>
    <w:basedOn w:val="a"/>
    <w:uiPriority w:val="99"/>
    <w:rsid w:val="006B6D8E"/>
    <w:rPr>
      <w:rFonts w:ascii="Verdana" w:hAnsi="Verdana" w:cs="Verdana"/>
      <w:sz w:val="20"/>
      <w:szCs w:val="20"/>
      <w:lang w:val="en-US" w:eastAsia="en-US"/>
    </w:rPr>
  </w:style>
  <w:style w:type="paragraph" w:styleId="afb">
    <w:name w:val="List Paragraph"/>
    <w:basedOn w:val="a"/>
    <w:uiPriority w:val="99"/>
    <w:qFormat/>
    <w:rsid w:val="006B6D8E"/>
    <w:pPr>
      <w:spacing w:after="200" w:line="276" w:lineRule="auto"/>
      <w:ind w:left="720"/>
      <w:contextualSpacing/>
    </w:pPr>
    <w:rPr>
      <w:rFonts w:ascii="Calibri" w:hAnsi="Calibri"/>
      <w:sz w:val="22"/>
      <w:szCs w:val="22"/>
      <w:lang w:eastAsia="en-US"/>
    </w:rPr>
  </w:style>
  <w:style w:type="paragraph" w:styleId="26">
    <w:name w:val="Body Text 2"/>
    <w:basedOn w:val="a"/>
    <w:link w:val="27"/>
    <w:uiPriority w:val="99"/>
    <w:rsid w:val="006B6D8E"/>
    <w:pPr>
      <w:spacing w:after="120" w:line="480" w:lineRule="auto"/>
    </w:pPr>
    <w:rPr>
      <w:szCs w:val="20"/>
    </w:rPr>
  </w:style>
  <w:style w:type="character" w:customStyle="1" w:styleId="27">
    <w:name w:val="Основной текст 2 Знак"/>
    <w:basedOn w:val="a0"/>
    <w:link w:val="26"/>
    <w:uiPriority w:val="99"/>
    <w:semiHidden/>
    <w:locked/>
    <w:rsid w:val="009C6026"/>
    <w:rPr>
      <w:rFonts w:cs="Times New Roman"/>
      <w:sz w:val="24"/>
      <w:lang w:val="ru-RU" w:eastAsia="ru-RU"/>
    </w:rPr>
  </w:style>
  <w:style w:type="paragraph" w:customStyle="1" w:styleId="28">
    <w:name w:val="Знак Знак2 Знак Знак Знак"/>
    <w:basedOn w:val="a"/>
    <w:uiPriority w:val="99"/>
    <w:rsid w:val="006B6D8E"/>
    <w:rPr>
      <w:rFonts w:ascii="Verdana" w:hAnsi="Verdana"/>
      <w:sz w:val="20"/>
      <w:szCs w:val="20"/>
      <w:lang w:val="en-US" w:eastAsia="en-US"/>
    </w:rPr>
  </w:style>
  <w:style w:type="paragraph" w:customStyle="1" w:styleId="29">
    <w:name w:val="Знак2 Знак Знак Знак Знак Знак Знак Знак Знак Знак Знак Знак Знак Знак Знак Знак Знак Знак"/>
    <w:basedOn w:val="a"/>
    <w:uiPriority w:val="99"/>
    <w:rsid w:val="006B6D8E"/>
    <w:rPr>
      <w:rFonts w:ascii="Verdana" w:hAnsi="Verdana"/>
      <w:sz w:val="20"/>
      <w:szCs w:val="20"/>
      <w:lang w:val="en-US" w:eastAsia="en-US"/>
    </w:rPr>
  </w:style>
  <w:style w:type="character" w:customStyle="1" w:styleId="FontStyle24">
    <w:name w:val="Font Style24"/>
    <w:uiPriority w:val="99"/>
    <w:rsid w:val="006B6D8E"/>
    <w:rPr>
      <w:rFonts w:ascii="Times New Roman" w:hAnsi="Times New Roman"/>
      <w:sz w:val="22"/>
    </w:rPr>
  </w:style>
  <w:style w:type="paragraph" w:customStyle="1" w:styleId="Style2">
    <w:name w:val="Style2"/>
    <w:basedOn w:val="a"/>
    <w:uiPriority w:val="99"/>
    <w:rsid w:val="006B6D8E"/>
    <w:pPr>
      <w:widowControl w:val="0"/>
      <w:autoSpaceDE w:val="0"/>
      <w:autoSpaceDN w:val="0"/>
      <w:adjustRightInd w:val="0"/>
      <w:spacing w:line="298" w:lineRule="exact"/>
      <w:ind w:firstLine="722"/>
      <w:jc w:val="both"/>
    </w:pPr>
  </w:style>
  <w:style w:type="paragraph" w:customStyle="1" w:styleId="Style4">
    <w:name w:val="Style4"/>
    <w:basedOn w:val="a"/>
    <w:uiPriority w:val="99"/>
    <w:rsid w:val="006B6D8E"/>
    <w:pPr>
      <w:widowControl w:val="0"/>
      <w:autoSpaceDE w:val="0"/>
      <w:autoSpaceDN w:val="0"/>
      <w:adjustRightInd w:val="0"/>
      <w:spacing w:line="298" w:lineRule="exact"/>
      <w:ind w:firstLine="881"/>
      <w:jc w:val="both"/>
    </w:pPr>
  </w:style>
  <w:style w:type="paragraph" w:customStyle="1" w:styleId="Style20">
    <w:name w:val="Style20"/>
    <w:basedOn w:val="a"/>
    <w:uiPriority w:val="99"/>
    <w:rsid w:val="006B6D8E"/>
    <w:pPr>
      <w:widowControl w:val="0"/>
      <w:autoSpaceDE w:val="0"/>
      <w:autoSpaceDN w:val="0"/>
      <w:adjustRightInd w:val="0"/>
      <w:spacing w:line="295" w:lineRule="exact"/>
      <w:ind w:hanging="353"/>
      <w:jc w:val="both"/>
    </w:pPr>
  </w:style>
  <w:style w:type="paragraph" w:customStyle="1" w:styleId="Style21">
    <w:name w:val="Style21"/>
    <w:basedOn w:val="a"/>
    <w:uiPriority w:val="99"/>
    <w:rsid w:val="006B6D8E"/>
    <w:pPr>
      <w:widowControl w:val="0"/>
      <w:autoSpaceDE w:val="0"/>
      <w:autoSpaceDN w:val="0"/>
      <w:adjustRightInd w:val="0"/>
      <w:spacing w:line="296" w:lineRule="exact"/>
      <w:ind w:hanging="348"/>
    </w:pPr>
  </w:style>
  <w:style w:type="paragraph" w:customStyle="1" w:styleId="16">
    <w:name w:val="Знак Знак1 Знак Знак Знак Знак Знак Знак"/>
    <w:basedOn w:val="a"/>
    <w:uiPriority w:val="99"/>
    <w:rsid w:val="005C2F14"/>
    <w:rPr>
      <w:rFonts w:ascii="Verdana" w:hAnsi="Verdana" w:cs="Verdana"/>
      <w:sz w:val="20"/>
      <w:szCs w:val="20"/>
      <w:lang w:val="en-US" w:eastAsia="en-US"/>
    </w:rPr>
  </w:style>
  <w:style w:type="paragraph" w:customStyle="1" w:styleId="2a">
    <w:name w:val="2 Знак Знак Знак Знак Знак Знак Знак Знак Знак Знак Знак Знак Знак Знак Знак Знак Знак Знак Знак Знак Знак"/>
    <w:basedOn w:val="a"/>
    <w:uiPriority w:val="99"/>
    <w:rsid w:val="00512106"/>
    <w:rPr>
      <w:rFonts w:ascii="Verdana" w:hAnsi="Verdana" w:cs="Verdana"/>
      <w:sz w:val="20"/>
      <w:szCs w:val="20"/>
      <w:lang w:val="en-US" w:eastAsia="en-US"/>
    </w:rPr>
  </w:style>
  <w:style w:type="paragraph" w:customStyle="1" w:styleId="14pt">
    <w:name w:val="Обычный + 14 pt"/>
    <w:aliases w:val="по ширине,Первая строка:  1,25 см"/>
    <w:basedOn w:val="a"/>
    <w:uiPriority w:val="99"/>
    <w:rsid w:val="00920F32"/>
    <w:pPr>
      <w:ind w:firstLine="708"/>
      <w:jc w:val="both"/>
    </w:pPr>
    <w:rPr>
      <w:rFonts w:eastAsia="Batang"/>
      <w:sz w:val="28"/>
      <w:szCs w:val="28"/>
      <w:lang w:val="uk-UA"/>
    </w:rPr>
  </w:style>
  <w:style w:type="character" w:customStyle="1" w:styleId="tlid-translation">
    <w:name w:val="tlid-translation"/>
    <w:basedOn w:val="a0"/>
    <w:rsid w:val="00CF3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8248">
      <w:bodyDiv w:val="1"/>
      <w:marLeft w:val="0"/>
      <w:marRight w:val="0"/>
      <w:marTop w:val="0"/>
      <w:marBottom w:val="0"/>
      <w:divBdr>
        <w:top w:val="none" w:sz="0" w:space="0" w:color="auto"/>
        <w:left w:val="none" w:sz="0" w:space="0" w:color="auto"/>
        <w:bottom w:val="none" w:sz="0" w:space="0" w:color="auto"/>
        <w:right w:val="none" w:sz="0" w:space="0" w:color="auto"/>
      </w:divBdr>
      <w:divsChild>
        <w:div w:id="1359433341">
          <w:marLeft w:val="0"/>
          <w:marRight w:val="0"/>
          <w:marTop w:val="0"/>
          <w:marBottom w:val="0"/>
          <w:divBdr>
            <w:top w:val="none" w:sz="0" w:space="0" w:color="auto"/>
            <w:left w:val="none" w:sz="0" w:space="0" w:color="auto"/>
            <w:bottom w:val="none" w:sz="0" w:space="0" w:color="auto"/>
            <w:right w:val="none" w:sz="0" w:space="0" w:color="auto"/>
          </w:divBdr>
          <w:divsChild>
            <w:div w:id="1371494965">
              <w:marLeft w:val="0"/>
              <w:marRight w:val="0"/>
              <w:marTop w:val="0"/>
              <w:marBottom w:val="0"/>
              <w:divBdr>
                <w:top w:val="none" w:sz="0" w:space="0" w:color="auto"/>
                <w:left w:val="none" w:sz="0" w:space="0" w:color="auto"/>
                <w:bottom w:val="none" w:sz="0" w:space="0" w:color="auto"/>
                <w:right w:val="none" w:sz="0" w:space="0" w:color="auto"/>
              </w:divBdr>
              <w:divsChild>
                <w:div w:id="1594126683">
                  <w:marLeft w:val="0"/>
                  <w:marRight w:val="0"/>
                  <w:marTop w:val="0"/>
                  <w:marBottom w:val="0"/>
                  <w:divBdr>
                    <w:top w:val="none" w:sz="0" w:space="0" w:color="auto"/>
                    <w:left w:val="none" w:sz="0" w:space="0" w:color="auto"/>
                    <w:bottom w:val="none" w:sz="0" w:space="0" w:color="auto"/>
                    <w:right w:val="none" w:sz="0" w:space="0" w:color="auto"/>
                  </w:divBdr>
                  <w:divsChild>
                    <w:div w:id="603996947">
                      <w:marLeft w:val="0"/>
                      <w:marRight w:val="0"/>
                      <w:marTop w:val="0"/>
                      <w:marBottom w:val="0"/>
                      <w:divBdr>
                        <w:top w:val="none" w:sz="0" w:space="0" w:color="auto"/>
                        <w:left w:val="none" w:sz="0" w:space="0" w:color="auto"/>
                        <w:bottom w:val="none" w:sz="0" w:space="0" w:color="auto"/>
                        <w:right w:val="none" w:sz="0" w:space="0" w:color="auto"/>
                      </w:divBdr>
                      <w:divsChild>
                        <w:div w:id="185944580">
                          <w:marLeft w:val="0"/>
                          <w:marRight w:val="0"/>
                          <w:marTop w:val="0"/>
                          <w:marBottom w:val="0"/>
                          <w:divBdr>
                            <w:top w:val="none" w:sz="0" w:space="0" w:color="auto"/>
                            <w:left w:val="none" w:sz="0" w:space="0" w:color="auto"/>
                            <w:bottom w:val="none" w:sz="0" w:space="0" w:color="auto"/>
                            <w:right w:val="none" w:sz="0" w:space="0" w:color="auto"/>
                          </w:divBdr>
                          <w:divsChild>
                            <w:div w:id="86469573">
                              <w:marLeft w:val="0"/>
                              <w:marRight w:val="0"/>
                              <w:marTop w:val="0"/>
                              <w:marBottom w:val="0"/>
                              <w:divBdr>
                                <w:top w:val="none" w:sz="0" w:space="0" w:color="auto"/>
                                <w:left w:val="none" w:sz="0" w:space="0" w:color="auto"/>
                                <w:bottom w:val="none" w:sz="0" w:space="0" w:color="auto"/>
                                <w:right w:val="none" w:sz="0" w:space="0" w:color="auto"/>
                              </w:divBdr>
                              <w:divsChild>
                                <w:div w:id="1330523066">
                                  <w:marLeft w:val="0"/>
                                  <w:marRight w:val="0"/>
                                  <w:marTop w:val="0"/>
                                  <w:marBottom w:val="0"/>
                                  <w:divBdr>
                                    <w:top w:val="none" w:sz="0" w:space="0" w:color="auto"/>
                                    <w:left w:val="none" w:sz="0" w:space="0" w:color="auto"/>
                                    <w:bottom w:val="none" w:sz="0" w:space="0" w:color="auto"/>
                                    <w:right w:val="none" w:sz="0" w:space="0" w:color="auto"/>
                                  </w:divBdr>
                                  <w:divsChild>
                                    <w:div w:id="1607275633">
                                      <w:marLeft w:val="0"/>
                                      <w:marRight w:val="0"/>
                                      <w:marTop w:val="0"/>
                                      <w:marBottom w:val="0"/>
                                      <w:divBdr>
                                        <w:top w:val="none" w:sz="0" w:space="0" w:color="auto"/>
                                        <w:left w:val="none" w:sz="0" w:space="0" w:color="auto"/>
                                        <w:bottom w:val="none" w:sz="0" w:space="0" w:color="auto"/>
                                        <w:right w:val="none" w:sz="0" w:space="0" w:color="auto"/>
                                      </w:divBdr>
                                      <w:divsChild>
                                        <w:div w:id="1396585588">
                                          <w:marLeft w:val="0"/>
                                          <w:marRight w:val="0"/>
                                          <w:marTop w:val="0"/>
                                          <w:marBottom w:val="0"/>
                                          <w:divBdr>
                                            <w:top w:val="none" w:sz="0" w:space="0" w:color="auto"/>
                                            <w:left w:val="none" w:sz="0" w:space="0" w:color="auto"/>
                                            <w:bottom w:val="none" w:sz="0" w:space="0" w:color="auto"/>
                                            <w:right w:val="none" w:sz="0" w:space="0" w:color="auto"/>
                                          </w:divBdr>
                                          <w:divsChild>
                                            <w:div w:id="3481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76016">
      <w:marLeft w:val="0"/>
      <w:marRight w:val="0"/>
      <w:marTop w:val="0"/>
      <w:marBottom w:val="0"/>
      <w:divBdr>
        <w:top w:val="none" w:sz="0" w:space="0" w:color="auto"/>
        <w:left w:val="none" w:sz="0" w:space="0" w:color="auto"/>
        <w:bottom w:val="none" w:sz="0" w:space="0" w:color="auto"/>
        <w:right w:val="none" w:sz="0" w:space="0" w:color="auto"/>
      </w:divBdr>
    </w:div>
    <w:div w:id="1083576017">
      <w:marLeft w:val="0"/>
      <w:marRight w:val="0"/>
      <w:marTop w:val="0"/>
      <w:marBottom w:val="0"/>
      <w:divBdr>
        <w:top w:val="none" w:sz="0" w:space="0" w:color="auto"/>
        <w:left w:val="none" w:sz="0" w:space="0" w:color="auto"/>
        <w:bottom w:val="none" w:sz="0" w:space="0" w:color="auto"/>
        <w:right w:val="none" w:sz="0" w:space="0" w:color="auto"/>
      </w:divBdr>
    </w:div>
    <w:div w:id="1083576018">
      <w:marLeft w:val="0"/>
      <w:marRight w:val="0"/>
      <w:marTop w:val="0"/>
      <w:marBottom w:val="0"/>
      <w:divBdr>
        <w:top w:val="none" w:sz="0" w:space="0" w:color="auto"/>
        <w:left w:val="none" w:sz="0" w:space="0" w:color="auto"/>
        <w:bottom w:val="none" w:sz="0" w:space="0" w:color="auto"/>
        <w:right w:val="none" w:sz="0" w:space="0" w:color="auto"/>
      </w:divBdr>
    </w:div>
    <w:div w:id="1083576019">
      <w:marLeft w:val="0"/>
      <w:marRight w:val="0"/>
      <w:marTop w:val="0"/>
      <w:marBottom w:val="0"/>
      <w:divBdr>
        <w:top w:val="none" w:sz="0" w:space="0" w:color="auto"/>
        <w:left w:val="none" w:sz="0" w:space="0" w:color="auto"/>
        <w:bottom w:val="none" w:sz="0" w:space="0" w:color="auto"/>
        <w:right w:val="none" w:sz="0" w:space="0" w:color="auto"/>
      </w:divBdr>
    </w:div>
    <w:div w:id="1083576020">
      <w:marLeft w:val="0"/>
      <w:marRight w:val="0"/>
      <w:marTop w:val="0"/>
      <w:marBottom w:val="0"/>
      <w:divBdr>
        <w:top w:val="none" w:sz="0" w:space="0" w:color="auto"/>
        <w:left w:val="none" w:sz="0" w:space="0" w:color="auto"/>
        <w:bottom w:val="none" w:sz="0" w:space="0" w:color="auto"/>
        <w:right w:val="none" w:sz="0" w:space="0" w:color="auto"/>
      </w:divBdr>
    </w:div>
    <w:div w:id="1083576021">
      <w:marLeft w:val="0"/>
      <w:marRight w:val="0"/>
      <w:marTop w:val="0"/>
      <w:marBottom w:val="0"/>
      <w:divBdr>
        <w:top w:val="none" w:sz="0" w:space="0" w:color="auto"/>
        <w:left w:val="none" w:sz="0" w:space="0" w:color="auto"/>
        <w:bottom w:val="none" w:sz="0" w:space="0" w:color="auto"/>
        <w:right w:val="none" w:sz="0" w:space="0" w:color="auto"/>
      </w:divBdr>
    </w:div>
    <w:div w:id="1083576022">
      <w:marLeft w:val="0"/>
      <w:marRight w:val="0"/>
      <w:marTop w:val="0"/>
      <w:marBottom w:val="0"/>
      <w:divBdr>
        <w:top w:val="none" w:sz="0" w:space="0" w:color="auto"/>
        <w:left w:val="none" w:sz="0" w:space="0" w:color="auto"/>
        <w:bottom w:val="none" w:sz="0" w:space="0" w:color="auto"/>
        <w:right w:val="none" w:sz="0" w:space="0" w:color="auto"/>
      </w:divBdr>
    </w:div>
    <w:div w:id="1083576023">
      <w:marLeft w:val="0"/>
      <w:marRight w:val="0"/>
      <w:marTop w:val="0"/>
      <w:marBottom w:val="0"/>
      <w:divBdr>
        <w:top w:val="none" w:sz="0" w:space="0" w:color="auto"/>
        <w:left w:val="none" w:sz="0" w:space="0" w:color="auto"/>
        <w:bottom w:val="none" w:sz="0" w:space="0" w:color="auto"/>
        <w:right w:val="none" w:sz="0" w:space="0" w:color="auto"/>
      </w:divBdr>
    </w:div>
    <w:div w:id="1083576024">
      <w:marLeft w:val="0"/>
      <w:marRight w:val="0"/>
      <w:marTop w:val="0"/>
      <w:marBottom w:val="0"/>
      <w:divBdr>
        <w:top w:val="none" w:sz="0" w:space="0" w:color="auto"/>
        <w:left w:val="none" w:sz="0" w:space="0" w:color="auto"/>
        <w:bottom w:val="none" w:sz="0" w:space="0" w:color="auto"/>
        <w:right w:val="none" w:sz="0" w:space="0" w:color="auto"/>
      </w:divBdr>
    </w:div>
    <w:div w:id="1083576025">
      <w:marLeft w:val="0"/>
      <w:marRight w:val="0"/>
      <w:marTop w:val="0"/>
      <w:marBottom w:val="0"/>
      <w:divBdr>
        <w:top w:val="none" w:sz="0" w:space="0" w:color="auto"/>
        <w:left w:val="none" w:sz="0" w:space="0" w:color="auto"/>
        <w:bottom w:val="none" w:sz="0" w:space="0" w:color="auto"/>
        <w:right w:val="none" w:sz="0" w:space="0" w:color="auto"/>
      </w:divBdr>
    </w:div>
    <w:div w:id="1083576026">
      <w:marLeft w:val="0"/>
      <w:marRight w:val="0"/>
      <w:marTop w:val="0"/>
      <w:marBottom w:val="0"/>
      <w:divBdr>
        <w:top w:val="none" w:sz="0" w:space="0" w:color="auto"/>
        <w:left w:val="none" w:sz="0" w:space="0" w:color="auto"/>
        <w:bottom w:val="none" w:sz="0" w:space="0" w:color="auto"/>
        <w:right w:val="none" w:sz="0" w:space="0" w:color="auto"/>
      </w:divBdr>
    </w:div>
    <w:div w:id="1083576027">
      <w:marLeft w:val="0"/>
      <w:marRight w:val="0"/>
      <w:marTop w:val="0"/>
      <w:marBottom w:val="0"/>
      <w:divBdr>
        <w:top w:val="none" w:sz="0" w:space="0" w:color="auto"/>
        <w:left w:val="none" w:sz="0" w:space="0" w:color="auto"/>
        <w:bottom w:val="none" w:sz="0" w:space="0" w:color="auto"/>
        <w:right w:val="none" w:sz="0" w:space="0" w:color="auto"/>
      </w:divBdr>
    </w:div>
    <w:div w:id="1083576028">
      <w:marLeft w:val="0"/>
      <w:marRight w:val="0"/>
      <w:marTop w:val="0"/>
      <w:marBottom w:val="0"/>
      <w:divBdr>
        <w:top w:val="none" w:sz="0" w:space="0" w:color="auto"/>
        <w:left w:val="none" w:sz="0" w:space="0" w:color="auto"/>
        <w:bottom w:val="none" w:sz="0" w:space="0" w:color="auto"/>
        <w:right w:val="none" w:sz="0" w:space="0" w:color="auto"/>
      </w:divBdr>
    </w:div>
    <w:div w:id="1083576029">
      <w:marLeft w:val="0"/>
      <w:marRight w:val="0"/>
      <w:marTop w:val="0"/>
      <w:marBottom w:val="0"/>
      <w:divBdr>
        <w:top w:val="none" w:sz="0" w:space="0" w:color="auto"/>
        <w:left w:val="none" w:sz="0" w:space="0" w:color="auto"/>
        <w:bottom w:val="none" w:sz="0" w:space="0" w:color="auto"/>
        <w:right w:val="none" w:sz="0" w:space="0" w:color="auto"/>
      </w:divBdr>
    </w:div>
    <w:div w:id="1083576030">
      <w:marLeft w:val="0"/>
      <w:marRight w:val="0"/>
      <w:marTop w:val="0"/>
      <w:marBottom w:val="0"/>
      <w:divBdr>
        <w:top w:val="none" w:sz="0" w:space="0" w:color="auto"/>
        <w:left w:val="none" w:sz="0" w:space="0" w:color="auto"/>
        <w:bottom w:val="none" w:sz="0" w:space="0" w:color="auto"/>
        <w:right w:val="none" w:sz="0" w:space="0" w:color="auto"/>
      </w:divBdr>
    </w:div>
    <w:div w:id="1083576031">
      <w:marLeft w:val="0"/>
      <w:marRight w:val="0"/>
      <w:marTop w:val="0"/>
      <w:marBottom w:val="0"/>
      <w:divBdr>
        <w:top w:val="none" w:sz="0" w:space="0" w:color="auto"/>
        <w:left w:val="none" w:sz="0" w:space="0" w:color="auto"/>
        <w:bottom w:val="none" w:sz="0" w:space="0" w:color="auto"/>
        <w:right w:val="none" w:sz="0" w:space="0" w:color="auto"/>
      </w:divBdr>
    </w:div>
    <w:div w:id="1083576032">
      <w:marLeft w:val="0"/>
      <w:marRight w:val="0"/>
      <w:marTop w:val="0"/>
      <w:marBottom w:val="0"/>
      <w:divBdr>
        <w:top w:val="none" w:sz="0" w:space="0" w:color="auto"/>
        <w:left w:val="none" w:sz="0" w:space="0" w:color="auto"/>
        <w:bottom w:val="none" w:sz="0" w:space="0" w:color="auto"/>
        <w:right w:val="none" w:sz="0" w:space="0" w:color="auto"/>
      </w:divBdr>
    </w:div>
    <w:div w:id="1083576033">
      <w:marLeft w:val="0"/>
      <w:marRight w:val="0"/>
      <w:marTop w:val="0"/>
      <w:marBottom w:val="0"/>
      <w:divBdr>
        <w:top w:val="none" w:sz="0" w:space="0" w:color="auto"/>
        <w:left w:val="none" w:sz="0" w:space="0" w:color="auto"/>
        <w:bottom w:val="none" w:sz="0" w:space="0" w:color="auto"/>
        <w:right w:val="none" w:sz="0" w:space="0" w:color="auto"/>
      </w:divBdr>
    </w:div>
    <w:div w:id="1083576034">
      <w:marLeft w:val="0"/>
      <w:marRight w:val="0"/>
      <w:marTop w:val="0"/>
      <w:marBottom w:val="0"/>
      <w:divBdr>
        <w:top w:val="none" w:sz="0" w:space="0" w:color="auto"/>
        <w:left w:val="none" w:sz="0" w:space="0" w:color="auto"/>
        <w:bottom w:val="none" w:sz="0" w:space="0" w:color="auto"/>
        <w:right w:val="none" w:sz="0" w:space="0" w:color="auto"/>
      </w:divBdr>
    </w:div>
    <w:div w:id="1083576035">
      <w:marLeft w:val="0"/>
      <w:marRight w:val="0"/>
      <w:marTop w:val="0"/>
      <w:marBottom w:val="0"/>
      <w:divBdr>
        <w:top w:val="none" w:sz="0" w:space="0" w:color="auto"/>
        <w:left w:val="none" w:sz="0" w:space="0" w:color="auto"/>
        <w:bottom w:val="none" w:sz="0" w:space="0" w:color="auto"/>
        <w:right w:val="none" w:sz="0" w:space="0" w:color="auto"/>
      </w:divBdr>
    </w:div>
    <w:div w:id="1083576036">
      <w:marLeft w:val="0"/>
      <w:marRight w:val="0"/>
      <w:marTop w:val="0"/>
      <w:marBottom w:val="0"/>
      <w:divBdr>
        <w:top w:val="none" w:sz="0" w:space="0" w:color="auto"/>
        <w:left w:val="none" w:sz="0" w:space="0" w:color="auto"/>
        <w:bottom w:val="none" w:sz="0" w:space="0" w:color="auto"/>
        <w:right w:val="none" w:sz="0" w:space="0" w:color="auto"/>
      </w:divBdr>
    </w:div>
    <w:div w:id="1083576037">
      <w:marLeft w:val="0"/>
      <w:marRight w:val="0"/>
      <w:marTop w:val="0"/>
      <w:marBottom w:val="0"/>
      <w:divBdr>
        <w:top w:val="none" w:sz="0" w:space="0" w:color="auto"/>
        <w:left w:val="none" w:sz="0" w:space="0" w:color="auto"/>
        <w:bottom w:val="none" w:sz="0" w:space="0" w:color="auto"/>
        <w:right w:val="none" w:sz="0" w:space="0" w:color="auto"/>
      </w:divBdr>
    </w:div>
    <w:div w:id="1083576038">
      <w:marLeft w:val="0"/>
      <w:marRight w:val="0"/>
      <w:marTop w:val="0"/>
      <w:marBottom w:val="0"/>
      <w:divBdr>
        <w:top w:val="none" w:sz="0" w:space="0" w:color="auto"/>
        <w:left w:val="none" w:sz="0" w:space="0" w:color="auto"/>
        <w:bottom w:val="none" w:sz="0" w:space="0" w:color="auto"/>
        <w:right w:val="none" w:sz="0" w:space="0" w:color="auto"/>
      </w:divBdr>
    </w:div>
    <w:div w:id="1083576039">
      <w:marLeft w:val="0"/>
      <w:marRight w:val="0"/>
      <w:marTop w:val="0"/>
      <w:marBottom w:val="0"/>
      <w:divBdr>
        <w:top w:val="none" w:sz="0" w:space="0" w:color="auto"/>
        <w:left w:val="none" w:sz="0" w:space="0" w:color="auto"/>
        <w:bottom w:val="none" w:sz="0" w:space="0" w:color="auto"/>
        <w:right w:val="none" w:sz="0" w:space="0" w:color="auto"/>
      </w:divBdr>
    </w:div>
    <w:div w:id="1083576040">
      <w:marLeft w:val="0"/>
      <w:marRight w:val="0"/>
      <w:marTop w:val="0"/>
      <w:marBottom w:val="0"/>
      <w:divBdr>
        <w:top w:val="none" w:sz="0" w:space="0" w:color="auto"/>
        <w:left w:val="none" w:sz="0" w:space="0" w:color="auto"/>
        <w:bottom w:val="none" w:sz="0" w:space="0" w:color="auto"/>
        <w:right w:val="none" w:sz="0" w:space="0" w:color="auto"/>
      </w:divBdr>
    </w:div>
    <w:div w:id="1083576041">
      <w:marLeft w:val="0"/>
      <w:marRight w:val="0"/>
      <w:marTop w:val="0"/>
      <w:marBottom w:val="0"/>
      <w:divBdr>
        <w:top w:val="none" w:sz="0" w:space="0" w:color="auto"/>
        <w:left w:val="none" w:sz="0" w:space="0" w:color="auto"/>
        <w:bottom w:val="none" w:sz="0" w:space="0" w:color="auto"/>
        <w:right w:val="none" w:sz="0" w:space="0" w:color="auto"/>
      </w:divBdr>
    </w:div>
    <w:div w:id="1083576042">
      <w:marLeft w:val="0"/>
      <w:marRight w:val="0"/>
      <w:marTop w:val="0"/>
      <w:marBottom w:val="0"/>
      <w:divBdr>
        <w:top w:val="none" w:sz="0" w:space="0" w:color="auto"/>
        <w:left w:val="none" w:sz="0" w:space="0" w:color="auto"/>
        <w:bottom w:val="none" w:sz="0" w:space="0" w:color="auto"/>
        <w:right w:val="none" w:sz="0" w:space="0" w:color="auto"/>
      </w:divBdr>
    </w:div>
    <w:div w:id="1083576043">
      <w:marLeft w:val="0"/>
      <w:marRight w:val="0"/>
      <w:marTop w:val="0"/>
      <w:marBottom w:val="0"/>
      <w:divBdr>
        <w:top w:val="none" w:sz="0" w:space="0" w:color="auto"/>
        <w:left w:val="none" w:sz="0" w:space="0" w:color="auto"/>
        <w:bottom w:val="none" w:sz="0" w:space="0" w:color="auto"/>
        <w:right w:val="none" w:sz="0" w:space="0" w:color="auto"/>
      </w:divBdr>
    </w:div>
    <w:div w:id="1083576044">
      <w:marLeft w:val="0"/>
      <w:marRight w:val="0"/>
      <w:marTop w:val="0"/>
      <w:marBottom w:val="0"/>
      <w:divBdr>
        <w:top w:val="none" w:sz="0" w:space="0" w:color="auto"/>
        <w:left w:val="none" w:sz="0" w:space="0" w:color="auto"/>
        <w:bottom w:val="none" w:sz="0" w:space="0" w:color="auto"/>
        <w:right w:val="none" w:sz="0" w:space="0" w:color="auto"/>
      </w:divBdr>
    </w:div>
    <w:div w:id="1083576045">
      <w:marLeft w:val="0"/>
      <w:marRight w:val="0"/>
      <w:marTop w:val="0"/>
      <w:marBottom w:val="0"/>
      <w:divBdr>
        <w:top w:val="none" w:sz="0" w:space="0" w:color="auto"/>
        <w:left w:val="none" w:sz="0" w:space="0" w:color="auto"/>
        <w:bottom w:val="none" w:sz="0" w:space="0" w:color="auto"/>
        <w:right w:val="none" w:sz="0" w:space="0" w:color="auto"/>
      </w:divBdr>
    </w:div>
    <w:div w:id="1083576046">
      <w:marLeft w:val="0"/>
      <w:marRight w:val="0"/>
      <w:marTop w:val="0"/>
      <w:marBottom w:val="0"/>
      <w:divBdr>
        <w:top w:val="none" w:sz="0" w:space="0" w:color="auto"/>
        <w:left w:val="none" w:sz="0" w:space="0" w:color="auto"/>
        <w:bottom w:val="none" w:sz="0" w:space="0" w:color="auto"/>
        <w:right w:val="none" w:sz="0" w:space="0" w:color="auto"/>
      </w:divBdr>
    </w:div>
    <w:div w:id="1083576047">
      <w:marLeft w:val="0"/>
      <w:marRight w:val="0"/>
      <w:marTop w:val="0"/>
      <w:marBottom w:val="0"/>
      <w:divBdr>
        <w:top w:val="none" w:sz="0" w:space="0" w:color="auto"/>
        <w:left w:val="none" w:sz="0" w:space="0" w:color="auto"/>
        <w:bottom w:val="none" w:sz="0" w:space="0" w:color="auto"/>
        <w:right w:val="none" w:sz="0" w:space="0" w:color="auto"/>
      </w:divBdr>
    </w:div>
    <w:div w:id="1083576048">
      <w:marLeft w:val="0"/>
      <w:marRight w:val="0"/>
      <w:marTop w:val="0"/>
      <w:marBottom w:val="0"/>
      <w:divBdr>
        <w:top w:val="none" w:sz="0" w:space="0" w:color="auto"/>
        <w:left w:val="none" w:sz="0" w:space="0" w:color="auto"/>
        <w:bottom w:val="none" w:sz="0" w:space="0" w:color="auto"/>
        <w:right w:val="none" w:sz="0" w:space="0" w:color="auto"/>
      </w:divBdr>
    </w:div>
    <w:div w:id="1083576049">
      <w:marLeft w:val="0"/>
      <w:marRight w:val="0"/>
      <w:marTop w:val="0"/>
      <w:marBottom w:val="0"/>
      <w:divBdr>
        <w:top w:val="none" w:sz="0" w:space="0" w:color="auto"/>
        <w:left w:val="none" w:sz="0" w:space="0" w:color="auto"/>
        <w:bottom w:val="none" w:sz="0" w:space="0" w:color="auto"/>
        <w:right w:val="none" w:sz="0" w:space="0" w:color="auto"/>
      </w:divBdr>
    </w:div>
    <w:div w:id="1083576050">
      <w:marLeft w:val="0"/>
      <w:marRight w:val="0"/>
      <w:marTop w:val="0"/>
      <w:marBottom w:val="0"/>
      <w:divBdr>
        <w:top w:val="none" w:sz="0" w:space="0" w:color="auto"/>
        <w:left w:val="none" w:sz="0" w:space="0" w:color="auto"/>
        <w:bottom w:val="none" w:sz="0" w:space="0" w:color="auto"/>
        <w:right w:val="none" w:sz="0" w:space="0" w:color="auto"/>
      </w:divBdr>
    </w:div>
    <w:div w:id="1083576051">
      <w:marLeft w:val="0"/>
      <w:marRight w:val="0"/>
      <w:marTop w:val="0"/>
      <w:marBottom w:val="0"/>
      <w:divBdr>
        <w:top w:val="none" w:sz="0" w:space="0" w:color="auto"/>
        <w:left w:val="none" w:sz="0" w:space="0" w:color="auto"/>
        <w:bottom w:val="none" w:sz="0" w:space="0" w:color="auto"/>
        <w:right w:val="none" w:sz="0" w:space="0" w:color="auto"/>
      </w:divBdr>
    </w:div>
    <w:div w:id="1083576052">
      <w:marLeft w:val="0"/>
      <w:marRight w:val="0"/>
      <w:marTop w:val="0"/>
      <w:marBottom w:val="0"/>
      <w:divBdr>
        <w:top w:val="none" w:sz="0" w:space="0" w:color="auto"/>
        <w:left w:val="none" w:sz="0" w:space="0" w:color="auto"/>
        <w:bottom w:val="none" w:sz="0" w:space="0" w:color="auto"/>
        <w:right w:val="none" w:sz="0" w:space="0" w:color="auto"/>
      </w:divBdr>
    </w:div>
    <w:div w:id="1083576053">
      <w:marLeft w:val="0"/>
      <w:marRight w:val="0"/>
      <w:marTop w:val="0"/>
      <w:marBottom w:val="0"/>
      <w:divBdr>
        <w:top w:val="none" w:sz="0" w:space="0" w:color="auto"/>
        <w:left w:val="none" w:sz="0" w:space="0" w:color="auto"/>
        <w:bottom w:val="none" w:sz="0" w:space="0" w:color="auto"/>
        <w:right w:val="none" w:sz="0" w:space="0" w:color="auto"/>
      </w:divBdr>
    </w:div>
    <w:div w:id="1083576054">
      <w:marLeft w:val="0"/>
      <w:marRight w:val="0"/>
      <w:marTop w:val="0"/>
      <w:marBottom w:val="0"/>
      <w:divBdr>
        <w:top w:val="none" w:sz="0" w:space="0" w:color="auto"/>
        <w:left w:val="none" w:sz="0" w:space="0" w:color="auto"/>
        <w:bottom w:val="none" w:sz="0" w:space="0" w:color="auto"/>
        <w:right w:val="none" w:sz="0" w:space="0" w:color="auto"/>
      </w:divBdr>
    </w:div>
    <w:div w:id="1083576055">
      <w:marLeft w:val="0"/>
      <w:marRight w:val="0"/>
      <w:marTop w:val="0"/>
      <w:marBottom w:val="0"/>
      <w:divBdr>
        <w:top w:val="none" w:sz="0" w:space="0" w:color="auto"/>
        <w:left w:val="none" w:sz="0" w:space="0" w:color="auto"/>
        <w:bottom w:val="none" w:sz="0" w:space="0" w:color="auto"/>
        <w:right w:val="none" w:sz="0" w:space="0" w:color="auto"/>
      </w:divBdr>
    </w:div>
    <w:div w:id="1083576056">
      <w:marLeft w:val="0"/>
      <w:marRight w:val="0"/>
      <w:marTop w:val="0"/>
      <w:marBottom w:val="0"/>
      <w:divBdr>
        <w:top w:val="none" w:sz="0" w:space="0" w:color="auto"/>
        <w:left w:val="none" w:sz="0" w:space="0" w:color="auto"/>
        <w:bottom w:val="none" w:sz="0" w:space="0" w:color="auto"/>
        <w:right w:val="none" w:sz="0" w:space="0" w:color="auto"/>
      </w:divBdr>
    </w:div>
    <w:div w:id="1083576057">
      <w:marLeft w:val="0"/>
      <w:marRight w:val="0"/>
      <w:marTop w:val="0"/>
      <w:marBottom w:val="0"/>
      <w:divBdr>
        <w:top w:val="none" w:sz="0" w:space="0" w:color="auto"/>
        <w:left w:val="none" w:sz="0" w:space="0" w:color="auto"/>
        <w:bottom w:val="none" w:sz="0" w:space="0" w:color="auto"/>
        <w:right w:val="none" w:sz="0" w:space="0" w:color="auto"/>
      </w:divBdr>
    </w:div>
    <w:div w:id="1083576058">
      <w:marLeft w:val="0"/>
      <w:marRight w:val="0"/>
      <w:marTop w:val="0"/>
      <w:marBottom w:val="0"/>
      <w:divBdr>
        <w:top w:val="none" w:sz="0" w:space="0" w:color="auto"/>
        <w:left w:val="none" w:sz="0" w:space="0" w:color="auto"/>
        <w:bottom w:val="none" w:sz="0" w:space="0" w:color="auto"/>
        <w:right w:val="none" w:sz="0" w:space="0" w:color="auto"/>
      </w:divBdr>
    </w:div>
    <w:div w:id="1083576059">
      <w:marLeft w:val="0"/>
      <w:marRight w:val="0"/>
      <w:marTop w:val="0"/>
      <w:marBottom w:val="0"/>
      <w:divBdr>
        <w:top w:val="none" w:sz="0" w:space="0" w:color="auto"/>
        <w:left w:val="none" w:sz="0" w:space="0" w:color="auto"/>
        <w:bottom w:val="none" w:sz="0" w:space="0" w:color="auto"/>
        <w:right w:val="none" w:sz="0" w:space="0" w:color="auto"/>
      </w:divBdr>
    </w:div>
    <w:div w:id="1083576060">
      <w:marLeft w:val="0"/>
      <w:marRight w:val="0"/>
      <w:marTop w:val="0"/>
      <w:marBottom w:val="0"/>
      <w:divBdr>
        <w:top w:val="none" w:sz="0" w:space="0" w:color="auto"/>
        <w:left w:val="none" w:sz="0" w:space="0" w:color="auto"/>
        <w:bottom w:val="none" w:sz="0" w:space="0" w:color="auto"/>
        <w:right w:val="none" w:sz="0" w:space="0" w:color="auto"/>
      </w:divBdr>
    </w:div>
    <w:div w:id="1083576061">
      <w:marLeft w:val="0"/>
      <w:marRight w:val="0"/>
      <w:marTop w:val="0"/>
      <w:marBottom w:val="0"/>
      <w:divBdr>
        <w:top w:val="none" w:sz="0" w:space="0" w:color="auto"/>
        <w:left w:val="none" w:sz="0" w:space="0" w:color="auto"/>
        <w:bottom w:val="none" w:sz="0" w:space="0" w:color="auto"/>
        <w:right w:val="none" w:sz="0" w:space="0" w:color="auto"/>
      </w:divBdr>
    </w:div>
    <w:div w:id="1083576062">
      <w:marLeft w:val="0"/>
      <w:marRight w:val="0"/>
      <w:marTop w:val="0"/>
      <w:marBottom w:val="0"/>
      <w:divBdr>
        <w:top w:val="none" w:sz="0" w:space="0" w:color="auto"/>
        <w:left w:val="none" w:sz="0" w:space="0" w:color="auto"/>
        <w:bottom w:val="none" w:sz="0" w:space="0" w:color="auto"/>
        <w:right w:val="none" w:sz="0" w:space="0" w:color="auto"/>
      </w:divBdr>
    </w:div>
    <w:div w:id="1083576063">
      <w:marLeft w:val="0"/>
      <w:marRight w:val="0"/>
      <w:marTop w:val="0"/>
      <w:marBottom w:val="0"/>
      <w:divBdr>
        <w:top w:val="none" w:sz="0" w:space="0" w:color="auto"/>
        <w:left w:val="none" w:sz="0" w:space="0" w:color="auto"/>
        <w:bottom w:val="none" w:sz="0" w:space="0" w:color="auto"/>
        <w:right w:val="none" w:sz="0" w:space="0" w:color="auto"/>
      </w:divBdr>
    </w:div>
    <w:div w:id="1083576064">
      <w:marLeft w:val="0"/>
      <w:marRight w:val="0"/>
      <w:marTop w:val="0"/>
      <w:marBottom w:val="0"/>
      <w:divBdr>
        <w:top w:val="none" w:sz="0" w:space="0" w:color="auto"/>
        <w:left w:val="none" w:sz="0" w:space="0" w:color="auto"/>
        <w:bottom w:val="none" w:sz="0" w:space="0" w:color="auto"/>
        <w:right w:val="none" w:sz="0" w:space="0" w:color="auto"/>
      </w:divBdr>
    </w:div>
    <w:div w:id="1083576065">
      <w:marLeft w:val="0"/>
      <w:marRight w:val="0"/>
      <w:marTop w:val="0"/>
      <w:marBottom w:val="0"/>
      <w:divBdr>
        <w:top w:val="none" w:sz="0" w:space="0" w:color="auto"/>
        <w:left w:val="none" w:sz="0" w:space="0" w:color="auto"/>
        <w:bottom w:val="none" w:sz="0" w:space="0" w:color="auto"/>
        <w:right w:val="none" w:sz="0" w:space="0" w:color="auto"/>
      </w:divBdr>
    </w:div>
    <w:div w:id="1083576066">
      <w:marLeft w:val="0"/>
      <w:marRight w:val="0"/>
      <w:marTop w:val="0"/>
      <w:marBottom w:val="0"/>
      <w:divBdr>
        <w:top w:val="none" w:sz="0" w:space="0" w:color="auto"/>
        <w:left w:val="none" w:sz="0" w:space="0" w:color="auto"/>
        <w:bottom w:val="none" w:sz="0" w:space="0" w:color="auto"/>
        <w:right w:val="none" w:sz="0" w:space="0" w:color="auto"/>
      </w:divBdr>
    </w:div>
    <w:div w:id="1083576067">
      <w:marLeft w:val="0"/>
      <w:marRight w:val="0"/>
      <w:marTop w:val="0"/>
      <w:marBottom w:val="0"/>
      <w:divBdr>
        <w:top w:val="none" w:sz="0" w:space="0" w:color="auto"/>
        <w:left w:val="none" w:sz="0" w:space="0" w:color="auto"/>
        <w:bottom w:val="none" w:sz="0" w:space="0" w:color="auto"/>
        <w:right w:val="none" w:sz="0" w:space="0" w:color="auto"/>
      </w:divBdr>
    </w:div>
    <w:div w:id="1083576068">
      <w:marLeft w:val="0"/>
      <w:marRight w:val="0"/>
      <w:marTop w:val="0"/>
      <w:marBottom w:val="0"/>
      <w:divBdr>
        <w:top w:val="none" w:sz="0" w:space="0" w:color="auto"/>
        <w:left w:val="none" w:sz="0" w:space="0" w:color="auto"/>
        <w:bottom w:val="none" w:sz="0" w:space="0" w:color="auto"/>
        <w:right w:val="none" w:sz="0" w:space="0" w:color="auto"/>
      </w:divBdr>
    </w:div>
    <w:div w:id="1083576069">
      <w:marLeft w:val="0"/>
      <w:marRight w:val="0"/>
      <w:marTop w:val="0"/>
      <w:marBottom w:val="0"/>
      <w:divBdr>
        <w:top w:val="none" w:sz="0" w:space="0" w:color="auto"/>
        <w:left w:val="none" w:sz="0" w:space="0" w:color="auto"/>
        <w:bottom w:val="none" w:sz="0" w:space="0" w:color="auto"/>
        <w:right w:val="none" w:sz="0" w:space="0" w:color="auto"/>
      </w:divBdr>
    </w:div>
    <w:div w:id="1083576070">
      <w:marLeft w:val="0"/>
      <w:marRight w:val="0"/>
      <w:marTop w:val="0"/>
      <w:marBottom w:val="0"/>
      <w:divBdr>
        <w:top w:val="none" w:sz="0" w:space="0" w:color="auto"/>
        <w:left w:val="none" w:sz="0" w:space="0" w:color="auto"/>
        <w:bottom w:val="none" w:sz="0" w:space="0" w:color="auto"/>
        <w:right w:val="none" w:sz="0" w:space="0" w:color="auto"/>
      </w:divBdr>
    </w:div>
    <w:div w:id="1083576071">
      <w:marLeft w:val="0"/>
      <w:marRight w:val="0"/>
      <w:marTop w:val="0"/>
      <w:marBottom w:val="0"/>
      <w:divBdr>
        <w:top w:val="none" w:sz="0" w:space="0" w:color="auto"/>
        <w:left w:val="none" w:sz="0" w:space="0" w:color="auto"/>
        <w:bottom w:val="none" w:sz="0" w:space="0" w:color="auto"/>
        <w:right w:val="none" w:sz="0" w:space="0" w:color="auto"/>
      </w:divBdr>
    </w:div>
    <w:div w:id="1083576072">
      <w:marLeft w:val="0"/>
      <w:marRight w:val="0"/>
      <w:marTop w:val="0"/>
      <w:marBottom w:val="0"/>
      <w:divBdr>
        <w:top w:val="none" w:sz="0" w:space="0" w:color="auto"/>
        <w:left w:val="none" w:sz="0" w:space="0" w:color="auto"/>
        <w:bottom w:val="none" w:sz="0" w:space="0" w:color="auto"/>
        <w:right w:val="none" w:sz="0" w:space="0" w:color="auto"/>
      </w:divBdr>
    </w:div>
    <w:div w:id="1083576073">
      <w:marLeft w:val="0"/>
      <w:marRight w:val="0"/>
      <w:marTop w:val="0"/>
      <w:marBottom w:val="0"/>
      <w:divBdr>
        <w:top w:val="none" w:sz="0" w:space="0" w:color="auto"/>
        <w:left w:val="none" w:sz="0" w:space="0" w:color="auto"/>
        <w:bottom w:val="none" w:sz="0" w:space="0" w:color="auto"/>
        <w:right w:val="none" w:sz="0" w:space="0" w:color="auto"/>
      </w:divBdr>
    </w:div>
    <w:div w:id="1083576074">
      <w:marLeft w:val="0"/>
      <w:marRight w:val="0"/>
      <w:marTop w:val="0"/>
      <w:marBottom w:val="0"/>
      <w:divBdr>
        <w:top w:val="none" w:sz="0" w:space="0" w:color="auto"/>
        <w:left w:val="none" w:sz="0" w:space="0" w:color="auto"/>
        <w:bottom w:val="none" w:sz="0" w:space="0" w:color="auto"/>
        <w:right w:val="none" w:sz="0" w:space="0" w:color="auto"/>
      </w:divBdr>
    </w:div>
    <w:div w:id="1083576075">
      <w:marLeft w:val="0"/>
      <w:marRight w:val="0"/>
      <w:marTop w:val="0"/>
      <w:marBottom w:val="0"/>
      <w:divBdr>
        <w:top w:val="none" w:sz="0" w:space="0" w:color="auto"/>
        <w:left w:val="none" w:sz="0" w:space="0" w:color="auto"/>
        <w:bottom w:val="none" w:sz="0" w:space="0" w:color="auto"/>
        <w:right w:val="none" w:sz="0" w:space="0" w:color="auto"/>
      </w:divBdr>
    </w:div>
    <w:div w:id="1083576076">
      <w:marLeft w:val="0"/>
      <w:marRight w:val="0"/>
      <w:marTop w:val="0"/>
      <w:marBottom w:val="0"/>
      <w:divBdr>
        <w:top w:val="none" w:sz="0" w:space="0" w:color="auto"/>
        <w:left w:val="none" w:sz="0" w:space="0" w:color="auto"/>
        <w:bottom w:val="none" w:sz="0" w:space="0" w:color="auto"/>
        <w:right w:val="none" w:sz="0" w:space="0" w:color="auto"/>
      </w:divBdr>
    </w:div>
    <w:div w:id="1083576077">
      <w:marLeft w:val="0"/>
      <w:marRight w:val="0"/>
      <w:marTop w:val="0"/>
      <w:marBottom w:val="0"/>
      <w:divBdr>
        <w:top w:val="none" w:sz="0" w:space="0" w:color="auto"/>
        <w:left w:val="none" w:sz="0" w:space="0" w:color="auto"/>
        <w:bottom w:val="none" w:sz="0" w:space="0" w:color="auto"/>
        <w:right w:val="none" w:sz="0" w:space="0" w:color="auto"/>
      </w:divBdr>
    </w:div>
    <w:div w:id="1083576078">
      <w:marLeft w:val="0"/>
      <w:marRight w:val="0"/>
      <w:marTop w:val="0"/>
      <w:marBottom w:val="0"/>
      <w:divBdr>
        <w:top w:val="none" w:sz="0" w:space="0" w:color="auto"/>
        <w:left w:val="none" w:sz="0" w:space="0" w:color="auto"/>
        <w:bottom w:val="none" w:sz="0" w:space="0" w:color="auto"/>
        <w:right w:val="none" w:sz="0" w:space="0" w:color="auto"/>
      </w:divBdr>
    </w:div>
    <w:div w:id="1083576079">
      <w:marLeft w:val="0"/>
      <w:marRight w:val="0"/>
      <w:marTop w:val="0"/>
      <w:marBottom w:val="0"/>
      <w:divBdr>
        <w:top w:val="none" w:sz="0" w:space="0" w:color="auto"/>
        <w:left w:val="none" w:sz="0" w:space="0" w:color="auto"/>
        <w:bottom w:val="none" w:sz="0" w:space="0" w:color="auto"/>
        <w:right w:val="none" w:sz="0" w:space="0" w:color="auto"/>
      </w:divBdr>
    </w:div>
    <w:div w:id="1083576080">
      <w:marLeft w:val="0"/>
      <w:marRight w:val="0"/>
      <w:marTop w:val="0"/>
      <w:marBottom w:val="0"/>
      <w:divBdr>
        <w:top w:val="none" w:sz="0" w:space="0" w:color="auto"/>
        <w:left w:val="none" w:sz="0" w:space="0" w:color="auto"/>
        <w:bottom w:val="none" w:sz="0" w:space="0" w:color="auto"/>
        <w:right w:val="none" w:sz="0" w:space="0" w:color="auto"/>
      </w:divBdr>
    </w:div>
    <w:div w:id="1083576081">
      <w:marLeft w:val="0"/>
      <w:marRight w:val="0"/>
      <w:marTop w:val="0"/>
      <w:marBottom w:val="0"/>
      <w:divBdr>
        <w:top w:val="none" w:sz="0" w:space="0" w:color="auto"/>
        <w:left w:val="none" w:sz="0" w:space="0" w:color="auto"/>
        <w:bottom w:val="none" w:sz="0" w:space="0" w:color="auto"/>
        <w:right w:val="none" w:sz="0" w:space="0" w:color="auto"/>
      </w:divBdr>
    </w:div>
    <w:div w:id="1083576082">
      <w:marLeft w:val="0"/>
      <w:marRight w:val="0"/>
      <w:marTop w:val="0"/>
      <w:marBottom w:val="0"/>
      <w:divBdr>
        <w:top w:val="none" w:sz="0" w:space="0" w:color="auto"/>
        <w:left w:val="none" w:sz="0" w:space="0" w:color="auto"/>
        <w:bottom w:val="none" w:sz="0" w:space="0" w:color="auto"/>
        <w:right w:val="none" w:sz="0" w:space="0" w:color="auto"/>
      </w:divBdr>
    </w:div>
    <w:div w:id="1083576083">
      <w:marLeft w:val="0"/>
      <w:marRight w:val="0"/>
      <w:marTop w:val="0"/>
      <w:marBottom w:val="0"/>
      <w:divBdr>
        <w:top w:val="none" w:sz="0" w:space="0" w:color="auto"/>
        <w:left w:val="none" w:sz="0" w:space="0" w:color="auto"/>
        <w:bottom w:val="none" w:sz="0" w:space="0" w:color="auto"/>
        <w:right w:val="none" w:sz="0" w:space="0" w:color="auto"/>
      </w:divBdr>
    </w:div>
    <w:div w:id="1083576084">
      <w:marLeft w:val="0"/>
      <w:marRight w:val="0"/>
      <w:marTop w:val="0"/>
      <w:marBottom w:val="0"/>
      <w:divBdr>
        <w:top w:val="none" w:sz="0" w:space="0" w:color="auto"/>
        <w:left w:val="none" w:sz="0" w:space="0" w:color="auto"/>
        <w:bottom w:val="none" w:sz="0" w:space="0" w:color="auto"/>
        <w:right w:val="none" w:sz="0" w:space="0" w:color="auto"/>
      </w:divBdr>
    </w:div>
    <w:div w:id="1329947231">
      <w:bodyDiv w:val="1"/>
      <w:marLeft w:val="0"/>
      <w:marRight w:val="0"/>
      <w:marTop w:val="0"/>
      <w:marBottom w:val="0"/>
      <w:divBdr>
        <w:top w:val="none" w:sz="0" w:space="0" w:color="auto"/>
        <w:left w:val="none" w:sz="0" w:space="0" w:color="auto"/>
        <w:bottom w:val="none" w:sz="0" w:space="0" w:color="auto"/>
        <w:right w:val="none" w:sz="0" w:space="0" w:color="auto"/>
      </w:divBdr>
      <w:divsChild>
        <w:div w:id="1474330465">
          <w:marLeft w:val="0"/>
          <w:marRight w:val="0"/>
          <w:marTop w:val="0"/>
          <w:marBottom w:val="0"/>
          <w:divBdr>
            <w:top w:val="none" w:sz="0" w:space="0" w:color="auto"/>
            <w:left w:val="none" w:sz="0" w:space="0" w:color="auto"/>
            <w:bottom w:val="none" w:sz="0" w:space="0" w:color="auto"/>
            <w:right w:val="none" w:sz="0" w:space="0" w:color="auto"/>
          </w:divBdr>
          <w:divsChild>
            <w:div w:id="1281036925">
              <w:marLeft w:val="0"/>
              <w:marRight w:val="0"/>
              <w:marTop w:val="0"/>
              <w:marBottom w:val="0"/>
              <w:divBdr>
                <w:top w:val="none" w:sz="0" w:space="0" w:color="auto"/>
                <w:left w:val="none" w:sz="0" w:space="0" w:color="auto"/>
                <w:bottom w:val="none" w:sz="0" w:space="0" w:color="auto"/>
                <w:right w:val="none" w:sz="0" w:space="0" w:color="auto"/>
              </w:divBdr>
              <w:divsChild>
                <w:div w:id="1179467849">
                  <w:marLeft w:val="0"/>
                  <w:marRight w:val="0"/>
                  <w:marTop w:val="0"/>
                  <w:marBottom w:val="0"/>
                  <w:divBdr>
                    <w:top w:val="none" w:sz="0" w:space="0" w:color="auto"/>
                    <w:left w:val="none" w:sz="0" w:space="0" w:color="auto"/>
                    <w:bottom w:val="none" w:sz="0" w:space="0" w:color="auto"/>
                    <w:right w:val="none" w:sz="0" w:space="0" w:color="auto"/>
                  </w:divBdr>
                  <w:divsChild>
                    <w:div w:id="498540444">
                      <w:marLeft w:val="0"/>
                      <w:marRight w:val="0"/>
                      <w:marTop w:val="0"/>
                      <w:marBottom w:val="0"/>
                      <w:divBdr>
                        <w:top w:val="none" w:sz="0" w:space="0" w:color="auto"/>
                        <w:left w:val="none" w:sz="0" w:space="0" w:color="auto"/>
                        <w:bottom w:val="none" w:sz="0" w:space="0" w:color="auto"/>
                        <w:right w:val="none" w:sz="0" w:space="0" w:color="auto"/>
                      </w:divBdr>
                      <w:divsChild>
                        <w:div w:id="236676814">
                          <w:marLeft w:val="0"/>
                          <w:marRight w:val="0"/>
                          <w:marTop w:val="0"/>
                          <w:marBottom w:val="0"/>
                          <w:divBdr>
                            <w:top w:val="none" w:sz="0" w:space="0" w:color="auto"/>
                            <w:left w:val="none" w:sz="0" w:space="0" w:color="auto"/>
                            <w:bottom w:val="none" w:sz="0" w:space="0" w:color="auto"/>
                            <w:right w:val="none" w:sz="0" w:space="0" w:color="auto"/>
                          </w:divBdr>
                          <w:divsChild>
                            <w:div w:id="550729863">
                              <w:marLeft w:val="0"/>
                              <w:marRight w:val="0"/>
                              <w:marTop w:val="0"/>
                              <w:marBottom w:val="0"/>
                              <w:divBdr>
                                <w:top w:val="none" w:sz="0" w:space="0" w:color="auto"/>
                                <w:left w:val="none" w:sz="0" w:space="0" w:color="auto"/>
                                <w:bottom w:val="none" w:sz="0" w:space="0" w:color="auto"/>
                                <w:right w:val="none" w:sz="0" w:space="0" w:color="auto"/>
                              </w:divBdr>
                              <w:divsChild>
                                <w:div w:id="560605054">
                                  <w:marLeft w:val="0"/>
                                  <w:marRight w:val="0"/>
                                  <w:marTop w:val="0"/>
                                  <w:marBottom w:val="0"/>
                                  <w:divBdr>
                                    <w:top w:val="none" w:sz="0" w:space="0" w:color="auto"/>
                                    <w:left w:val="none" w:sz="0" w:space="0" w:color="auto"/>
                                    <w:bottom w:val="none" w:sz="0" w:space="0" w:color="auto"/>
                                    <w:right w:val="none" w:sz="0" w:space="0" w:color="auto"/>
                                  </w:divBdr>
                                  <w:divsChild>
                                    <w:div w:id="655845040">
                                      <w:marLeft w:val="0"/>
                                      <w:marRight w:val="0"/>
                                      <w:marTop w:val="0"/>
                                      <w:marBottom w:val="0"/>
                                      <w:divBdr>
                                        <w:top w:val="none" w:sz="0" w:space="0" w:color="auto"/>
                                        <w:left w:val="none" w:sz="0" w:space="0" w:color="auto"/>
                                        <w:bottom w:val="none" w:sz="0" w:space="0" w:color="auto"/>
                                        <w:right w:val="none" w:sz="0" w:space="0" w:color="auto"/>
                                      </w:divBdr>
                                      <w:divsChild>
                                        <w:div w:id="1928229266">
                                          <w:marLeft w:val="0"/>
                                          <w:marRight w:val="0"/>
                                          <w:marTop w:val="0"/>
                                          <w:marBottom w:val="0"/>
                                          <w:divBdr>
                                            <w:top w:val="none" w:sz="0" w:space="0" w:color="auto"/>
                                            <w:left w:val="none" w:sz="0" w:space="0" w:color="auto"/>
                                            <w:bottom w:val="none" w:sz="0" w:space="0" w:color="auto"/>
                                            <w:right w:val="none" w:sz="0" w:space="0" w:color="auto"/>
                                          </w:divBdr>
                                          <w:divsChild>
                                            <w:div w:id="3246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049268">
      <w:bodyDiv w:val="1"/>
      <w:marLeft w:val="0"/>
      <w:marRight w:val="0"/>
      <w:marTop w:val="0"/>
      <w:marBottom w:val="0"/>
      <w:divBdr>
        <w:top w:val="none" w:sz="0" w:space="0" w:color="auto"/>
        <w:left w:val="none" w:sz="0" w:space="0" w:color="auto"/>
        <w:bottom w:val="none" w:sz="0" w:space="0" w:color="auto"/>
        <w:right w:val="none" w:sz="0" w:space="0" w:color="auto"/>
      </w:divBdr>
      <w:divsChild>
        <w:div w:id="267005264">
          <w:marLeft w:val="0"/>
          <w:marRight w:val="0"/>
          <w:marTop w:val="0"/>
          <w:marBottom w:val="0"/>
          <w:divBdr>
            <w:top w:val="none" w:sz="0" w:space="0" w:color="auto"/>
            <w:left w:val="none" w:sz="0" w:space="0" w:color="auto"/>
            <w:bottom w:val="none" w:sz="0" w:space="0" w:color="auto"/>
            <w:right w:val="none" w:sz="0" w:space="0" w:color="auto"/>
          </w:divBdr>
          <w:divsChild>
            <w:div w:id="2102603913">
              <w:marLeft w:val="0"/>
              <w:marRight w:val="0"/>
              <w:marTop w:val="0"/>
              <w:marBottom w:val="0"/>
              <w:divBdr>
                <w:top w:val="none" w:sz="0" w:space="0" w:color="auto"/>
                <w:left w:val="none" w:sz="0" w:space="0" w:color="auto"/>
                <w:bottom w:val="none" w:sz="0" w:space="0" w:color="auto"/>
                <w:right w:val="none" w:sz="0" w:space="0" w:color="auto"/>
              </w:divBdr>
              <w:divsChild>
                <w:div w:id="1845630714">
                  <w:marLeft w:val="0"/>
                  <w:marRight w:val="0"/>
                  <w:marTop w:val="0"/>
                  <w:marBottom w:val="0"/>
                  <w:divBdr>
                    <w:top w:val="none" w:sz="0" w:space="0" w:color="auto"/>
                    <w:left w:val="none" w:sz="0" w:space="0" w:color="auto"/>
                    <w:bottom w:val="none" w:sz="0" w:space="0" w:color="auto"/>
                    <w:right w:val="none" w:sz="0" w:space="0" w:color="auto"/>
                  </w:divBdr>
                  <w:divsChild>
                    <w:div w:id="1464811364">
                      <w:marLeft w:val="0"/>
                      <w:marRight w:val="0"/>
                      <w:marTop w:val="0"/>
                      <w:marBottom w:val="0"/>
                      <w:divBdr>
                        <w:top w:val="none" w:sz="0" w:space="0" w:color="auto"/>
                        <w:left w:val="none" w:sz="0" w:space="0" w:color="auto"/>
                        <w:bottom w:val="none" w:sz="0" w:space="0" w:color="auto"/>
                        <w:right w:val="none" w:sz="0" w:space="0" w:color="auto"/>
                      </w:divBdr>
                      <w:divsChild>
                        <w:div w:id="2023167500">
                          <w:marLeft w:val="0"/>
                          <w:marRight w:val="0"/>
                          <w:marTop w:val="0"/>
                          <w:marBottom w:val="0"/>
                          <w:divBdr>
                            <w:top w:val="none" w:sz="0" w:space="0" w:color="auto"/>
                            <w:left w:val="none" w:sz="0" w:space="0" w:color="auto"/>
                            <w:bottom w:val="none" w:sz="0" w:space="0" w:color="auto"/>
                            <w:right w:val="none" w:sz="0" w:space="0" w:color="auto"/>
                          </w:divBdr>
                          <w:divsChild>
                            <w:div w:id="1655258316">
                              <w:marLeft w:val="0"/>
                              <w:marRight w:val="0"/>
                              <w:marTop w:val="0"/>
                              <w:marBottom w:val="0"/>
                              <w:divBdr>
                                <w:top w:val="none" w:sz="0" w:space="0" w:color="auto"/>
                                <w:left w:val="none" w:sz="0" w:space="0" w:color="auto"/>
                                <w:bottom w:val="none" w:sz="0" w:space="0" w:color="auto"/>
                                <w:right w:val="none" w:sz="0" w:space="0" w:color="auto"/>
                              </w:divBdr>
                              <w:divsChild>
                                <w:div w:id="348215835">
                                  <w:marLeft w:val="0"/>
                                  <w:marRight w:val="0"/>
                                  <w:marTop w:val="0"/>
                                  <w:marBottom w:val="0"/>
                                  <w:divBdr>
                                    <w:top w:val="none" w:sz="0" w:space="0" w:color="auto"/>
                                    <w:left w:val="none" w:sz="0" w:space="0" w:color="auto"/>
                                    <w:bottom w:val="none" w:sz="0" w:space="0" w:color="auto"/>
                                    <w:right w:val="none" w:sz="0" w:space="0" w:color="auto"/>
                                  </w:divBdr>
                                  <w:divsChild>
                                    <w:div w:id="142551437">
                                      <w:marLeft w:val="0"/>
                                      <w:marRight w:val="0"/>
                                      <w:marTop w:val="0"/>
                                      <w:marBottom w:val="0"/>
                                      <w:divBdr>
                                        <w:top w:val="none" w:sz="0" w:space="0" w:color="auto"/>
                                        <w:left w:val="none" w:sz="0" w:space="0" w:color="auto"/>
                                        <w:bottom w:val="none" w:sz="0" w:space="0" w:color="auto"/>
                                        <w:right w:val="none" w:sz="0" w:space="0" w:color="auto"/>
                                      </w:divBdr>
                                      <w:divsChild>
                                        <w:div w:id="1208758209">
                                          <w:marLeft w:val="0"/>
                                          <w:marRight w:val="0"/>
                                          <w:marTop w:val="0"/>
                                          <w:marBottom w:val="0"/>
                                          <w:divBdr>
                                            <w:top w:val="none" w:sz="0" w:space="0" w:color="auto"/>
                                            <w:left w:val="none" w:sz="0" w:space="0" w:color="auto"/>
                                            <w:bottom w:val="none" w:sz="0" w:space="0" w:color="auto"/>
                                            <w:right w:val="none" w:sz="0" w:space="0" w:color="auto"/>
                                          </w:divBdr>
                                          <w:divsChild>
                                            <w:div w:id="2025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10.10.0.19\Anonymous\17\17-2\2019\2018%20&#1088;&#1110;&#1082;\&#1088;&#1080;&#1089;.15_2018_&#1088;&#111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0.10.0.19\Anonymous\17\17-2\2019\2018%20&#1088;&#1110;&#1082;\&#1088;&#1080;&#1089;.18_2018_&#1088;&#1110;&#108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250"/>
      <c:rAngAx val="0"/>
      <c:perspective val="30"/>
    </c:view3D>
    <c:floor>
      <c:thickness val="0"/>
    </c:floor>
    <c:sideWall>
      <c:thickness val="0"/>
    </c:sideWall>
    <c:backWall>
      <c:thickness val="0"/>
    </c:backWall>
    <c:plotArea>
      <c:layout>
        <c:manualLayout>
          <c:layoutTarget val="inner"/>
          <c:xMode val="edge"/>
          <c:yMode val="edge"/>
          <c:x val="6.5222345779713767E-2"/>
          <c:y val="1.7386808285024509E-4"/>
          <c:w val="0.79982065964934279"/>
          <c:h val="0.79264057769072782"/>
        </c:manualLayout>
      </c:layout>
      <c:pie3DChart>
        <c:varyColors val="1"/>
        <c:ser>
          <c:idx val="0"/>
          <c:order val="0"/>
          <c:spPr>
            <a:scene3d>
              <a:camera prst="orthographicFront"/>
              <a:lightRig rig="threePt" dir="t"/>
            </a:scene3d>
            <a:sp3d>
              <a:bevelT w="317500" h="317500"/>
              <a:bevelB w="317500" h="317500"/>
            </a:sp3d>
          </c:spPr>
          <c:explosion val="17"/>
          <c:dPt>
            <c:idx val="0"/>
            <c:bubble3D val="0"/>
            <c:spPr>
              <a:solidFill>
                <a:schemeClr val="accent1"/>
              </a:solidFill>
              <a:scene3d>
                <a:camera prst="orthographicFront"/>
                <a:lightRig rig="threePt" dir="t"/>
              </a:scene3d>
              <a:sp3d>
                <a:bevelT w="317500" h="317500"/>
                <a:bevelB w="317500" h="317500"/>
              </a:sp3d>
            </c:spPr>
          </c:dPt>
          <c:dPt>
            <c:idx val="1"/>
            <c:bubble3D val="0"/>
            <c:spPr>
              <a:solidFill>
                <a:schemeClr val="accent2"/>
              </a:solidFill>
              <a:scene3d>
                <a:camera prst="orthographicFront"/>
                <a:lightRig rig="threePt" dir="t"/>
              </a:scene3d>
              <a:sp3d>
                <a:bevelT w="317500" h="317500"/>
                <a:bevelB w="317500" h="317500"/>
              </a:sp3d>
            </c:spPr>
          </c:dPt>
          <c:dPt>
            <c:idx val="2"/>
            <c:bubble3D val="0"/>
            <c:spPr>
              <a:solidFill>
                <a:schemeClr val="accent3">
                  <a:lumMod val="60000"/>
                  <a:lumOff val="40000"/>
                </a:schemeClr>
              </a:solidFill>
              <a:scene3d>
                <a:camera prst="orthographicFront"/>
                <a:lightRig rig="threePt" dir="t"/>
              </a:scene3d>
              <a:sp3d>
                <a:bevelT w="317500" h="317500"/>
                <a:bevelB w="317500" h="317500"/>
              </a:sp3d>
            </c:spPr>
          </c:dPt>
          <c:dPt>
            <c:idx val="3"/>
            <c:bubble3D val="0"/>
            <c:spPr>
              <a:solidFill>
                <a:schemeClr val="accent4">
                  <a:lumMod val="60000"/>
                  <a:lumOff val="40000"/>
                </a:schemeClr>
              </a:solidFill>
              <a:scene3d>
                <a:camera prst="orthographicFront"/>
                <a:lightRig rig="threePt" dir="t"/>
              </a:scene3d>
              <a:sp3d>
                <a:bevelT w="317500" h="317500"/>
                <a:bevelB w="317500" h="317500"/>
              </a:sp3d>
            </c:spPr>
          </c:dPt>
          <c:dPt>
            <c:idx val="4"/>
            <c:bubble3D val="0"/>
            <c:spPr>
              <a:solidFill>
                <a:schemeClr val="accent5"/>
              </a:solidFill>
              <a:scene3d>
                <a:camera prst="orthographicFront"/>
                <a:lightRig rig="threePt" dir="t"/>
              </a:scene3d>
              <a:sp3d>
                <a:bevelT w="317500" h="317500"/>
                <a:bevelB w="317500" h="317500"/>
              </a:sp3d>
            </c:spPr>
          </c:dPt>
          <c:dLbls>
            <c:dLbl>
              <c:idx val="0"/>
              <c:layout>
                <c:manualLayout>
                  <c:x val="0.14628222580213854"/>
                  <c:y val="6.3829917754437719E-3"/>
                </c:manualLayout>
              </c:layout>
              <c:tx>
                <c:rich>
                  <a:bodyPr/>
                  <a:lstStyle/>
                  <a:p>
                    <a:r>
                      <a:rPr lang="en-US" sz="750"/>
                      <a:t>Property</a:t>
                    </a:r>
                    <a:r>
                      <a:rPr lang="en-US" sz="750" baseline="0"/>
                      <a:t> insurance</a:t>
                    </a:r>
                    <a:endParaRPr lang="uk-UA" sz="750"/>
                  </a:p>
                  <a:p>
                    <a:r>
                      <a:rPr lang="uk-UA" sz="750"/>
                      <a:t> 3 771,3; 21,0%</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sz="750"/>
                      <a:t>Financial</a:t>
                    </a:r>
                    <a:r>
                      <a:rPr lang="en-US" sz="750" baseline="0"/>
                      <a:t> risk insurance</a:t>
                    </a:r>
                    <a:endParaRPr lang="uk-UA" sz="750"/>
                  </a:p>
                  <a:p>
                    <a:r>
                      <a:rPr lang="uk-UA" sz="750"/>
                      <a:t> 3 617,2; 20,2%</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6.6299157284541818E-2"/>
                  <c:y val="-0.12617512126510047"/>
                </c:manualLayout>
              </c:layout>
              <c:tx>
                <c:rich>
                  <a:bodyPr/>
                  <a:lstStyle/>
                  <a:p>
                    <a:r>
                      <a:rPr lang="en-US" sz="750"/>
                      <a:t>Insurance against fire risk and risk of natural disasters</a:t>
                    </a:r>
                    <a:endParaRPr lang="uk-UA" sz="750"/>
                  </a:p>
                  <a:p>
                    <a:r>
                      <a:rPr lang="uk-UA" sz="750"/>
                      <a:t> 2 772,3; 15,5%</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8.3468337929715555E-4"/>
                  <c:y val="8.24777954508608E-2"/>
                </c:manualLayout>
              </c:layout>
              <c:tx>
                <c:rich>
                  <a:bodyPr/>
                  <a:lstStyle/>
                  <a:p>
                    <a:r>
                      <a:rPr lang="en-US" sz="750"/>
                      <a:t>Cargo</a:t>
                    </a:r>
                    <a:r>
                      <a:rPr lang="en-US" sz="750" baseline="0"/>
                      <a:t> and luggage insurance</a:t>
                    </a:r>
                    <a:endParaRPr lang="uk-UA" sz="750"/>
                  </a:p>
                  <a:p>
                    <a:r>
                      <a:rPr lang="uk-UA" sz="750"/>
                      <a:t> 1 538,8; 8,6%</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4"/>
              <c:layout>
                <c:manualLayout>
                  <c:x val="5.3298497348423311E-2"/>
                  <c:y val="6.6310517529215504E-2"/>
                </c:manualLayout>
              </c:layout>
              <c:tx>
                <c:rich>
                  <a:bodyPr/>
                  <a:lstStyle/>
                  <a:p>
                    <a:r>
                      <a:rPr lang="en-US" sz="750"/>
                      <a:t>Insurance</a:t>
                    </a:r>
                    <a:r>
                      <a:rPr lang="en-US" sz="750" baseline="0"/>
                      <a:t> of land transport(CNC insurance</a:t>
                    </a:r>
                    <a:r>
                      <a:rPr lang="uk-UA" sz="750"/>
                      <a:t>)</a:t>
                    </a:r>
                  </a:p>
                  <a:p>
                    <a:r>
                      <a:rPr lang="uk-UA" sz="750"/>
                      <a:t> 1 273,8; 7,1%</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5"/>
              <c:layout>
                <c:manualLayout>
                  <c:x val="0.1686418314165733"/>
                  <c:y val="0.11240413813047999"/>
                </c:manualLayout>
              </c:layout>
              <c:tx>
                <c:rich>
                  <a:bodyPr/>
                  <a:lstStyle/>
                  <a:p>
                    <a:r>
                      <a:rPr lang="en-US" sz="750"/>
                      <a:t>Third</a:t>
                    </a:r>
                    <a:r>
                      <a:rPr lang="en-US" sz="750" baseline="0"/>
                      <a:t> party liability insurance</a:t>
                    </a:r>
                    <a:endParaRPr lang="uk-UA" sz="750"/>
                  </a:p>
                  <a:p>
                    <a:r>
                      <a:rPr lang="uk-UA" sz="750"/>
                      <a:t> 1 221,9; 6,8%</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6"/>
              <c:layout>
                <c:manualLayout>
                  <c:x val="0.26020240139340867"/>
                  <c:y val="0.21368439963368518"/>
                </c:manualLayout>
              </c:layout>
              <c:tx>
                <c:rich>
                  <a:bodyPr/>
                  <a:lstStyle/>
                  <a:p>
                    <a:r>
                      <a:rPr lang="en-US" sz="750"/>
                      <a:t>Aviation</a:t>
                    </a:r>
                    <a:r>
                      <a:rPr lang="en-US" sz="750" baseline="0"/>
                      <a:t> insurance</a:t>
                    </a:r>
                    <a:endParaRPr lang="uk-UA" sz="750"/>
                  </a:p>
                  <a:p>
                    <a:r>
                      <a:rPr lang="uk-UA" sz="750"/>
                      <a:t> 694,7; 3,9%</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7"/>
              <c:layout>
                <c:manualLayout>
                  <c:x val="0.20468977814791919"/>
                  <c:y val="0.23468843523107191"/>
                </c:manualLayout>
              </c:layout>
              <c:tx>
                <c:rich>
                  <a:bodyPr/>
                  <a:lstStyle/>
                  <a:p>
                    <a:r>
                      <a:rPr lang="en-US" sz="750"/>
                      <a:t>Accident</a:t>
                    </a:r>
                    <a:r>
                      <a:rPr lang="en-US" sz="750" baseline="0"/>
                      <a:t> insurance</a:t>
                    </a:r>
                    <a:endParaRPr lang="uk-UA" sz="750"/>
                  </a:p>
                  <a:p>
                    <a:r>
                      <a:rPr lang="uk-UA" sz="750"/>
                      <a:t> 430,2; 2,4%</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8"/>
              <c:layout>
                <c:manualLayout>
                  <c:x val="0.12604989704600206"/>
                  <c:y val="0.22703981701786449"/>
                </c:manualLayout>
              </c:layout>
              <c:tx>
                <c:rich>
                  <a:bodyPr/>
                  <a:lstStyle/>
                  <a:p>
                    <a:r>
                      <a:rPr lang="en-US" sz="750"/>
                      <a:t>Medical</a:t>
                    </a:r>
                    <a:r>
                      <a:rPr lang="en-US" sz="750" baseline="0"/>
                      <a:t> insurance</a:t>
                    </a:r>
                    <a:endParaRPr lang="uk-UA" sz="750"/>
                  </a:p>
                  <a:p>
                    <a:r>
                      <a:rPr lang="uk-UA" sz="750"/>
                      <a:t> (</a:t>
                    </a:r>
                    <a:r>
                      <a:rPr lang="en-US" sz="750"/>
                      <a:t>continuous health insurance</a:t>
                    </a:r>
                    <a:r>
                      <a:rPr lang="uk-UA" sz="750"/>
                      <a:t>)</a:t>
                    </a:r>
                  </a:p>
                  <a:p>
                    <a:r>
                      <a:rPr lang="uk-UA" sz="750"/>
                      <a:t> 384,5; 2,1%</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9"/>
              <c:layout>
                <c:manualLayout>
                  <c:x val="-1.398327812104844E-2"/>
                  <c:y val="0.25364408747737921"/>
                </c:manualLayout>
              </c:layout>
              <c:tx>
                <c:rich>
                  <a:bodyPr/>
                  <a:lstStyle/>
                  <a:p>
                    <a:endParaRPr lang="uk-UA" sz="750"/>
                  </a:p>
                  <a:p>
                    <a:r>
                      <a:rPr lang="en-US" sz="750"/>
                      <a:t>Insurance of civil</a:t>
                    </a:r>
                    <a:r>
                      <a:rPr lang="en-US" sz="750" baseline="0"/>
                      <a:t> liability of vehicles' owners</a:t>
                    </a:r>
                    <a:r>
                      <a:rPr lang="uk-UA" sz="750"/>
                      <a:t>("</a:t>
                    </a:r>
                    <a:r>
                      <a:rPr lang="en-US" sz="750"/>
                      <a:t>Green</a:t>
                    </a:r>
                    <a:r>
                      <a:rPr lang="en-US" sz="750" baseline="0"/>
                      <a:t> card</a:t>
                    </a:r>
                    <a:r>
                      <a:rPr lang="uk-UA" sz="750"/>
                      <a:t>")</a:t>
                    </a:r>
                  </a:p>
                  <a:p>
                    <a:r>
                      <a:rPr lang="uk-UA" sz="750"/>
                      <a:t> 370,4; 2,1%</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10"/>
              <c:layout>
                <c:manualLayout>
                  <c:x val="-3.0785128133807672E-2"/>
                  <c:y val="0.13413799902725021"/>
                </c:manualLayout>
              </c:layout>
              <c:tx>
                <c:rich>
                  <a:bodyPr/>
                  <a:lstStyle/>
                  <a:p>
                    <a:r>
                      <a:rPr lang="en-US" sz="750"/>
                      <a:t>Insurance of civil liability of vehicles'</a:t>
                    </a:r>
                    <a:r>
                      <a:rPr lang="en-US" sz="750" baseline="0"/>
                      <a:t> owners </a:t>
                    </a:r>
                    <a:r>
                      <a:rPr lang="uk-UA" sz="750"/>
                      <a:t> (</a:t>
                    </a:r>
                    <a:r>
                      <a:rPr lang="en-US" sz="750"/>
                      <a:t>CMTPL</a:t>
                    </a:r>
                    <a:r>
                      <a:rPr lang="uk-UA" sz="750"/>
                      <a:t>)</a:t>
                    </a:r>
                  </a:p>
                  <a:p>
                    <a:r>
                      <a:rPr lang="uk-UA" sz="750"/>
                      <a:t> 269,6; 1,5%</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11"/>
              <c:layout>
                <c:manualLayout>
                  <c:x val="-2.6689467356593912E-2"/>
                  <c:y val="5.8456132048602498E-2"/>
                </c:manualLayout>
              </c:layout>
              <c:tx>
                <c:rich>
                  <a:bodyPr/>
                  <a:lstStyle/>
                  <a:p>
                    <a:r>
                      <a:rPr lang="en-US" sz="750"/>
                      <a:t>Insurance</a:t>
                    </a:r>
                    <a:r>
                      <a:rPr lang="en-US" sz="750" baseline="0"/>
                      <a:t> of loans</a:t>
                    </a:r>
                    <a:endParaRPr lang="uk-UA" sz="750"/>
                  </a:p>
                  <a:p>
                    <a:r>
                      <a:rPr lang="uk-UA" sz="750"/>
                      <a:t> 546,0; 3,0%</a:t>
                    </a:r>
                    <a:endParaRPr lang="uk-UA"/>
                  </a:p>
                </c:rich>
              </c:tx>
              <c:showLegendKey val="0"/>
              <c:showVal val="1"/>
              <c:showCatName val="1"/>
              <c:showSerName val="0"/>
              <c:showPercent val="1"/>
              <c:showBubbleSize val="0"/>
              <c:extLst>
                <c:ext xmlns:c15="http://schemas.microsoft.com/office/drawing/2012/chart" uri="{CE6537A1-D6FC-4f65-9D91-7224C49458BB}"/>
              </c:extLst>
            </c:dLbl>
            <c:dLbl>
              <c:idx val="12"/>
              <c:layout>
                <c:manualLayout>
                  <c:x val="-2.3688221043743591E-2"/>
                  <c:y val="8.1483136811571187E-4"/>
                </c:manualLayout>
              </c:layout>
              <c:tx>
                <c:rich>
                  <a:bodyPr/>
                  <a:lstStyle/>
                  <a:p>
                    <a:r>
                      <a:rPr lang="en-US" sz="750"/>
                      <a:t>Other</a:t>
                    </a:r>
                    <a:r>
                      <a:rPr lang="en-US" sz="750" baseline="0"/>
                      <a:t> types of insurance</a:t>
                    </a:r>
                    <a:endParaRPr lang="uk-UA" sz="750"/>
                  </a:p>
                  <a:p>
                    <a:r>
                      <a:rPr lang="uk-UA" sz="750"/>
                      <a:t>1 050,0; 5,9%</a:t>
                    </a:r>
                    <a:endParaRPr lang="uk-UA"/>
                  </a:p>
                </c:rich>
              </c:tx>
              <c:showLegendKey val="0"/>
              <c:showVal val="1"/>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750" b="1"/>
                </a:pPr>
                <a:endParaRPr lang="ru-RU"/>
              </a:p>
            </c:txPr>
            <c:showLegendKey val="0"/>
            <c:showVal val="1"/>
            <c:showCatName val="1"/>
            <c:showSerName val="0"/>
            <c:showPercent val="1"/>
            <c:showBubbleSize val="0"/>
            <c:showLeaderLines val="1"/>
            <c:leaderLines>
              <c:spPr>
                <a:ln>
                  <a:solidFill>
                    <a:schemeClr val="tx1">
                      <a:lumMod val="50000"/>
                      <a:lumOff val="50000"/>
                    </a:schemeClr>
                  </a:solidFill>
                </a:ln>
              </c:spPr>
            </c:leaderLines>
            <c:extLst>
              <c:ext xmlns:c15="http://schemas.microsoft.com/office/drawing/2012/chart" uri="{CE6537A1-D6FC-4f65-9D91-7224C49458BB}"/>
            </c:extLst>
          </c:dLbls>
          <c:cat>
            <c:strRef>
              <c:f>'15'!$I$3:$I$15</c:f>
              <c:strCache>
                <c:ptCount val="13"/>
                <c:pt idx="0">
                  <c:v>Страхування майна</c:v>
                </c:pt>
                <c:pt idx="1">
                  <c:v>Страхування фінансових ризиків</c:v>
                </c:pt>
                <c:pt idx="2">
                  <c:v>Страхування від вогневих ризиків та ризиків стихійних явищ</c:v>
                </c:pt>
                <c:pt idx="3">
                  <c:v>Страхування вантажів та багажу (вантажобагажу)</c:v>
                </c:pt>
                <c:pt idx="4">
                  <c:v>Страхування наземного транспорту (КАСКО)</c:v>
                </c:pt>
                <c:pt idx="5">
                  <c:v>Страхування відповідальності перед третіми особами</c:v>
                </c:pt>
                <c:pt idx="6">
                  <c:v>Авіаційне страхування</c:v>
                </c:pt>
                <c:pt idx="7">
                  <c:v>Страхування від нещасних випадків</c:v>
                </c:pt>
                <c:pt idx="8">
                  <c:v>Медичне страхування (безперервне страхування здоров'я)</c:v>
                </c:pt>
                <c:pt idx="9">
                  <c:v>Страхування цивільної відповідальності власників транспортних засобів ("Зелена карта")</c:v>
                </c:pt>
                <c:pt idx="10">
                  <c:v>Страхування цивільної відповідальності власників транспортних засобів (ОСЦПВ)</c:v>
                </c:pt>
                <c:pt idx="11">
                  <c:v>Страхування кредитів</c:v>
                </c:pt>
                <c:pt idx="12">
                  <c:v>Інші види страхування</c:v>
                </c:pt>
              </c:strCache>
            </c:strRef>
          </c:cat>
          <c:val>
            <c:numRef>
              <c:f>'15'!$J$3:$J$15</c:f>
              <c:numCache>
                <c:formatCode>#,##0.0</c:formatCode>
                <c:ptCount val="13"/>
                <c:pt idx="0">
                  <c:v>3771.3</c:v>
                </c:pt>
                <c:pt idx="1">
                  <c:v>3617.2</c:v>
                </c:pt>
                <c:pt idx="2">
                  <c:v>2772.3</c:v>
                </c:pt>
                <c:pt idx="3">
                  <c:v>1538.8</c:v>
                </c:pt>
                <c:pt idx="4">
                  <c:v>1273.8</c:v>
                </c:pt>
                <c:pt idx="5">
                  <c:v>1221.9000000000001</c:v>
                </c:pt>
                <c:pt idx="6">
                  <c:v>694.7</c:v>
                </c:pt>
                <c:pt idx="7">
                  <c:v>430.2</c:v>
                </c:pt>
                <c:pt idx="8">
                  <c:v>384.5</c:v>
                </c:pt>
                <c:pt idx="9">
                  <c:v>370.4</c:v>
                </c:pt>
                <c:pt idx="10">
                  <c:v>269.60000000000002</c:v>
                </c:pt>
                <c:pt idx="11">
                  <c:v>546</c:v>
                </c:pt>
                <c:pt idx="12">
                  <c:v>1050</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solidFill>
        <a:schemeClr val="tx1">
          <a:lumMod val="50000"/>
          <a:lumOff val="50000"/>
        </a:schemeClr>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240"/>
      <c:rAngAx val="0"/>
      <c:perspective val="30"/>
    </c:view3D>
    <c:floor>
      <c:thickness val="0"/>
    </c:floor>
    <c:sideWall>
      <c:thickness val="0"/>
    </c:sideWall>
    <c:backWall>
      <c:thickness val="0"/>
    </c:backWall>
    <c:plotArea>
      <c:layout>
        <c:manualLayout>
          <c:layoutTarget val="inner"/>
          <c:xMode val="edge"/>
          <c:yMode val="edge"/>
          <c:x val="1.0990694647576601E-3"/>
          <c:y val="1.7981318652235411E-2"/>
          <c:w val="0.90628141116077665"/>
          <c:h val="0.89725942283178073"/>
        </c:manualLayout>
      </c:layout>
      <c:pie3DChart>
        <c:varyColors val="1"/>
        <c:ser>
          <c:idx val="0"/>
          <c:order val="0"/>
          <c:spPr>
            <a:scene3d>
              <a:camera prst="orthographicFront"/>
              <a:lightRig rig="threePt" dir="t"/>
            </a:scene3d>
            <a:sp3d>
              <a:bevelT w="349250" h="361950"/>
              <a:bevelB w="342900" h="336550"/>
            </a:sp3d>
          </c:spPr>
          <c:explosion val="27"/>
          <c:dPt>
            <c:idx val="0"/>
            <c:bubble3D val="0"/>
            <c:spPr>
              <a:solidFill>
                <a:schemeClr val="accent1"/>
              </a:solidFill>
              <a:scene3d>
                <a:camera prst="orthographicFront"/>
                <a:lightRig rig="threePt" dir="t"/>
              </a:scene3d>
              <a:sp3d>
                <a:bevelT w="349250" h="361950"/>
                <a:bevelB w="342900" h="336550"/>
              </a:sp3d>
            </c:spPr>
          </c:dPt>
          <c:dPt>
            <c:idx val="1"/>
            <c:bubble3D val="0"/>
            <c:spPr>
              <a:solidFill>
                <a:schemeClr val="accent2"/>
              </a:solidFill>
              <a:scene3d>
                <a:camera prst="orthographicFront"/>
                <a:lightRig rig="threePt" dir="t"/>
              </a:scene3d>
              <a:sp3d>
                <a:bevelT w="349250" h="361950"/>
                <a:bevelB w="342900" h="336550"/>
              </a:sp3d>
            </c:spPr>
          </c:dPt>
          <c:dPt>
            <c:idx val="2"/>
            <c:bubble3D val="0"/>
            <c:spPr>
              <a:solidFill>
                <a:schemeClr val="accent3">
                  <a:lumMod val="60000"/>
                  <a:lumOff val="40000"/>
                </a:schemeClr>
              </a:solidFill>
              <a:scene3d>
                <a:camera prst="orthographicFront"/>
                <a:lightRig rig="threePt" dir="t"/>
              </a:scene3d>
              <a:sp3d>
                <a:bevelT w="349250" h="361950"/>
                <a:bevelB w="342900" h="336550"/>
              </a:sp3d>
            </c:spPr>
          </c:dPt>
          <c:dPt>
            <c:idx val="3"/>
            <c:bubble3D val="0"/>
            <c:spPr>
              <a:solidFill>
                <a:schemeClr val="accent4">
                  <a:lumMod val="60000"/>
                  <a:lumOff val="40000"/>
                </a:schemeClr>
              </a:solidFill>
              <a:scene3d>
                <a:camera prst="orthographicFront"/>
                <a:lightRig rig="threePt" dir="t"/>
              </a:scene3d>
              <a:sp3d>
                <a:bevelT w="349250" h="361950"/>
                <a:bevelB w="342900" h="336550"/>
              </a:sp3d>
            </c:spPr>
          </c:dPt>
          <c:dPt>
            <c:idx val="4"/>
            <c:bubble3D val="0"/>
            <c:spPr>
              <a:solidFill>
                <a:schemeClr val="accent5"/>
              </a:solidFill>
              <a:scene3d>
                <a:camera prst="orthographicFront"/>
                <a:lightRig rig="threePt" dir="t"/>
              </a:scene3d>
              <a:sp3d>
                <a:bevelT w="349250" h="361950"/>
                <a:bevelB w="342900" h="336550"/>
              </a:sp3d>
            </c:spPr>
          </c:dPt>
          <c:dLbls>
            <c:dLbl>
              <c:idx val="0"/>
              <c:layout>
                <c:manualLayout>
                  <c:x val="0.13199063522883833"/>
                  <c:y val="9.1413916838153919E-3"/>
                </c:manualLayout>
              </c:layout>
              <c:tx>
                <c:rich>
                  <a:bodyPr/>
                  <a:lstStyle/>
                  <a:p>
                    <a:r>
                      <a:rPr lang="en-US"/>
                      <a:t>Great</a:t>
                    </a:r>
                    <a:r>
                      <a:rPr lang="en-US" baseline="0"/>
                      <a:t> Britain</a:t>
                    </a:r>
                    <a:endParaRPr lang="uk-UA"/>
                  </a:p>
                  <a:p>
                    <a:r>
                      <a:rPr lang="uk-UA"/>
                      <a:t>711,2; 23,7%</a:t>
                    </a:r>
                  </a:p>
                </c:rich>
              </c:tx>
              <c:showLegendKey val="0"/>
              <c:showVal val="1"/>
              <c:showCatName val="1"/>
              <c:showSerName val="0"/>
              <c:showPercent val="1"/>
              <c:showBubbleSize val="0"/>
              <c:extLst>
                <c:ext xmlns:c15="http://schemas.microsoft.com/office/drawing/2012/chart" uri="{CE6537A1-D6FC-4f65-9D91-7224C49458BB}"/>
              </c:extLst>
            </c:dLbl>
            <c:dLbl>
              <c:idx val="1"/>
              <c:layout>
                <c:manualLayout>
                  <c:x val="-1.6150556451168044E-3"/>
                  <c:y val="7.7960528103084112E-2"/>
                </c:manualLayout>
              </c:layout>
              <c:tx>
                <c:rich>
                  <a:bodyPr/>
                  <a:lstStyle/>
                  <a:p>
                    <a:r>
                      <a:rPr lang="en-US"/>
                      <a:t>Germany</a:t>
                    </a:r>
                    <a:endParaRPr lang="uk-UA"/>
                  </a:p>
                  <a:p>
                    <a:r>
                      <a:rPr lang="uk-UA"/>
                      <a:t> 558,2; 18,6%</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12362464226198543"/>
                  <c:y val="1.8895878469057052E-2"/>
                </c:manualLayout>
              </c:layout>
              <c:tx>
                <c:rich>
                  <a:bodyPr/>
                  <a:lstStyle/>
                  <a:p>
                    <a:r>
                      <a:rPr lang="en-US"/>
                      <a:t>Poland</a:t>
                    </a:r>
                    <a:endParaRPr lang="uk-UA"/>
                  </a:p>
                  <a:p>
                    <a:r>
                      <a:rPr lang="uk-UA"/>
                      <a:t> 372,1; 12,4%</a:t>
                    </a:r>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0.13427949700325195"/>
                  <c:y val="-0.11763819221425309"/>
                </c:manualLayout>
              </c:layout>
              <c:tx>
                <c:rich>
                  <a:bodyPr/>
                  <a:lstStyle/>
                  <a:p>
                    <a:r>
                      <a:rPr lang="en-US"/>
                      <a:t>Switzerland</a:t>
                    </a:r>
                    <a:endParaRPr lang="uk-UA"/>
                  </a:p>
                  <a:p>
                    <a:r>
                      <a:rPr lang="uk-UA"/>
                      <a:t> 319,1; 10,6%</a:t>
                    </a:r>
                  </a:p>
                </c:rich>
              </c:tx>
              <c:showLegendKey val="0"/>
              <c:showVal val="1"/>
              <c:showCatName val="1"/>
              <c:showSerName val="0"/>
              <c:showPercent val="1"/>
              <c:showBubbleSize val="0"/>
              <c:extLst>
                <c:ext xmlns:c15="http://schemas.microsoft.com/office/drawing/2012/chart" uri="{CE6537A1-D6FC-4f65-9D91-7224C49458BB}"/>
              </c:extLst>
            </c:dLbl>
            <c:dLbl>
              <c:idx val="4"/>
              <c:layout>
                <c:manualLayout>
                  <c:x val="7.4398402994421145E-2"/>
                  <c:y val="2.4730622873424996E-2"/>
                </c:manualLayout>
              </c:layout>
              <c:tx>
                <c:rich>
                  <a:bodyPr/>
                  <a:lstStyle/>
                  <a:p>
                    <a:r>
                      <a:rPr lang="en-US"/>
                      <a:t>Austria</a:t>
                    </a:r>
                    <a:endParaRPr lang="uk-UA"/>
                  </a:p>
                  <a:p>
                    <a:r>
                      <a:rPr lang="uk-UA"/>
                      <a:t> 253,9; 8,5%</a:t>
                    </a:r>
                  </a:p>
                </c:rich>
              </c:tx>
              <c:showLegendKey val="0"/>
              <c:showVal val="1"/>
              <c:showCatName val="1"/>
              <c:showSerName val="0"/>
              <c:showPercent val="1"/>
              <c:showBubbleSize val="0"/>
              <c:extLst>
                <c:ext xmlns:c15="http://schemas.microsoft.com/office/drawing/2012/chart" uri="{CE6537A1-D6FC-4f65-9D91-7224C49458BB}"/>
              </c:extLst>
            </c:dLbl>
            <c:dLbl>
              <c:idx val="5"/>
              <c:layout>
                <c:manualLayout>
                  <c:x val="0.15678041633989334"/>
                  <c:y val="6.1310737033906333E-2"/>
                </c:manualLayout>
              </c:layout>
              <c:tx>
                <c:rich>
                  <a:bodyPr/>
                  <a:lstStyle/>
                  <a:p>
                    <a:r>
                      <a:rPr lang="en-US"/>
                      <a:t>France</a:t>
                    </a:r>
                    <a:endParaRPr lang="uk-UA"/>
                  </a:p>
                  <a:p>
                    <a:r>
                      <a:rPr lang="uk-UA"/>
                      <a:t> 149,5; 5,0%</a:t>
                    </a:r>
                  </a:p>
                </c:rich>
              </c:tx>
              <c:showLegendKey val="0"/>
              <c:showVal val="1"/>
              <c:showCatName val="1"/>
              <c:showSerName val="0"/>
              <c:showPercent val="1"/>
              <c:showBubbleSize val="0"/>
              <c:extLst>
                <c:ext xmlns:c15="http://schemas.microsoft.com/office/drawing/2012/chart" uri="{CE6537A1-D6FC-4f65-9D91-7224C49458BB}"/>
              </c:extLst>
            </c:dLbl>
            <c:dLbl>
              <c:idx val="6"/>
              <c:layout>
                <c:manualLayout>
                  <c:x val="0.1227435202566514"/>
                  <c:y val="0.12542316794897237"/>
                </c:manualLayout>
              </c:layout>
              <c:tx>
                <c:rich>
                  <a:bodyPr/>
                  <a:lstStyle/>
                  <a:p>
                    <a:r>
                      <a:rPr lang="en-US"/>
                      <a:t>USA</a:t>
                    </a:r>
                    <a:endParaRPr lang="uk-UA"/>
                  </a:p>
                  <a:p>
                    <a:r>
                      <a:rPr lang="uk-UA"/>
                      <a:t>126,1; 4,2%</a:t>
                    </a:r>
                  </a:p>
                </c:rich>
              </c:tx>
              <c:showLegendKey val="0"/>
              <c:showVal val="1"/>
              <c:showCatName val="1"/>
              <c:showSerName val="0"/>
              <c:showPercent val="1"/>
              <c:showBubbleSize val="0"/>
              <c:extLst>
                <c:ext xmlns:c15="http://schemas.microsoft.com/office/drawing/2012/chart" uri="{CE6537A1-D6FC-4f65-9D91-7224C49458BB}"/>
              </c:extLst>
            </c:dLbl>
            <c:dLbl>
              <c:idx val="7"/>
              <c:layout>
                <c:manualLayout>
                  <c:x val="0.11615843563574425"/>
                  <c:y val="0.15885613069687277"/>
                </c:manualLayout>
              </c:layout>
              <c:tx>
                <c:rich>
                  <a:bodyPr/>
                  <a:lstStyle/>
                  <a:p>
                    <a:r>
                      <a:rPr lang="en-US"/>
                      <a:t>Czech</a:t>
                    </a:r>
                    <a:r>
                      <a:rPr lang="en-US" baseline="0"/>
                      <a:t>  Republic</a:t>
                    </a:r>
                    <a:endParaRPr lang="uk-UA"/>
                  </a:p>
                  <a:p>
                    <a:r>
                      <a:rPr lang="uk-UA"/>
                      <a:t> 73,4; 2,4%</a:t>
                    </a:r>
                  </a:p>
                </c:rich>
              </c:tx>
              <c:showLegendKey val="0"/>
              <c:showVal val="1"/>
              <c:showCatName val="1"/>
              <c:showSerName val="0"/>
              <c:showPercent val="1"/>
              <c:showBubbleSize val="0"/>
              <c:extLst>
                <c:ext xmlns:c15="http://schemas.microsoft.com/office/drawing/2012/chart" uri="{CE6537A1-D6FC-4f65-9D91-7224C49458BB}"/>
              </c:extLst>
            </c:dLbl>
            <c:dLbl>
              <c:idx val="8"/>
              <c:layout>
                <c:manualLayout>
                  <c:x val="7.0179790706649453E-2"/>
                  <c:y val="0.18448098204584842"/>
                </c:manualLayout>
              </c:layout>
              <c:tx>
                <c:rich>
                  <a:bodyPr/>
                  <a:lstStyle/>
                  <a:p>
                    <a:r>
                      <a:rPr lang="en-US"/>
                      <a:t>Russia</a:t>
                    </a:r>
                    <a:endParaRPr lang="uk-UA"/>
                  </a:p>
                  <a:p>
                    <a:r>
                      <a:rPr lang="uk-UA"/>
                      <a:t>69,6; 2,3%</a:t>
                    </a:r>
                  </a:p>
                </c:rich>
              </c:tx>
              <c:showLegendKey val="0"/>
              <c:showVal val="1"/>
              <c:showCatName val="1"/>
              <c:showSerName val="0"/>
              <c:showPercent val="1"/>
              <c:showBubbleSize val="0"/>
              <c:extLst>
                <c:ext xmlns:c15="http://schemas.microsoft.com/office/drawing/2012/chart" uri="{CE6537A1-D6FC-4f65-9D91-7224C49458BB}"/>
              </c:extLst>
            </c:dLbl>
            <c:dLbl>
              <c:idx val="9"/>
              <c:layout>
                <c:manualLayout>
                  <c:x val="-2.6944803063502592E-2"/>
                  <c:y val="0.19191594322437899"/>
                </c:manualLayout>
              </c:layout>
              <c:tx>
                <c:rich>
                  <a:bodyPr/>
                  <a:lstStyle/>
                  <a:p>
                    <a:r>
                      <a:rPr lang="en-US"/>
                      <a:t>India</a:t>
                    </a:r>
                    <a:endParaRPr lang="uk-UA"/>
                  </a:p>
                  <a:p>
                    <a:r>
                      <a:rPr lang="uk-UA"/>
                      <a:t> 46,2; 1,5%</a:t>
                    </a:r>
                  </a:p>
                </c:rich>
              </c:tx>
              <c:showLegendKey val="0"/>
              <c:showVal val="1"/>
              <c:showCatName val="1"/>
              <c:showSerName val="0"/>
              <c:showPercent val="1"/>
              <c:showBubbleSize val="0"/>
              <c:extLst>
                <c:ext xmlns:c15="http://schemas.microsoft.com/office/drawing/2012/chart" uri="{CE6537A1-D6FC-4f65-9D91-7224C49458BB}"/>
              </c:extLst>
            </c:dLbl>
            <c:dLbl>
              <c:idx val="10"/>
              <c:layout>
                <c:manualLayout>
                  <c:x val="-9.6396566565584096E-2"/>
                  <c:y val="0.10274268041041985"/>
                </c:manualLayout>
              </c:layout>
              <c:tx>
                <c:rich>
                  <a:bodyPr/>
                  <a:lstStyle/>
                  <a:p>
                    <a:r>
                      <a:rPr lang="en-US"/>
                      <a:t>Italy</a:t>
                    </a:r>
                    <a:endParaRPr lang="uk-UA"/>
                  </a:p>
                  <a:p>
                    <a:r>
                      <a:rPr lang="uk-UA"/>
                      <a:t> 41,6; 1,4%</a:t>
                    </a:r>
                  </a:p>
                </c:rich>
              </c:tx>
              <c:showLegendKey val="0"/>
              <c:showVal val="1"/>
              <c:showCatName val="1"/>
              <c:showSerName val="0"/>
              <c:showPercent val="1"/>
              <c:showBubbleSize val="0"/>
              <c:extLst>
                <c:ext xmlns:c15="http://schemas.microsoft.com/office/drawing/2012/chart" uri="{CE6537A1-D6FC-4f65-9D91-7224C49458BB}"/>
              </c:extLst>
            </c:dLbl>
            <c:dLbl>
              <c:idx val="11"/>
              <c:layout>
                <c:manualLayout>
                  <c:x val="-1.9225446623958423E-2"/>
                  <c:y val="5.7237808512767642E-2"/>
                </c:manualLayout>
              </c:layout>
              <c:tx>
                <c:rich>
                  <a:bodyPr/>
                  <a:lstStyle/>
                  <a:p>
                    <a:r>
                      <a:rPr lang="en-US"/>
                      <a:t>Other</a:t>
                    </a:r>
                    <a:r>
                      <a:rPr lang="en-US" baseline="0"/>
                      <a:t> countries</a:t>
                    </a:r>
                    <a:endParaRPr lang="uk-UA"/>
                  </a:p>
                  <a:p>
                    <a:r>
                      <a:rPr lang="uk-UA"/>
                      <a:t> 276,5; 9,2%</a:t>
                    </a:r>
                  </a:p>
                </c:rich>
              </c:tx>
              <c:showLegendKey val="0"/>
              <c:showVal val="1"/>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b="1"/>
                </a:pPr>
                <a:endParaRPr lang="ru-RU"/>
              </a:p>
            </c:txPr>
            <c:showLegendKey val="0"/>
            <c:showVal val="1"/>
            <c:showCatName val="1"/>
            <c:showSerName val="0"/>
            <c:showPercent val="1"/>
            <c:showBubbleSize val="0"/>
            <c:showLeaderLines val="1"/>
            <c:leaderLines>
              <c:spPr>
                <a:ln>
                  <a:solidFill>
                    <a:schemeClr val="tx1">
                      <a:lumMod val="50000"/>
                      <a:lumOff val="50000"/>
                    </a:schemeClr>
                  </a:solidFill>
                </a:ln>
              </c:spPr>
            </c:leaderLines>
            <c:extLst>
              <c:ext xmlns:c15="http://schemas.microsoft.com/office/drawing/2012/chart" uri="{CE6537A1-D6FC-4f65-9D91-7224C49458BB}"/>
            </c:extLst>
          </c:dLbls>
          <c:cat>
            <c:strRef>
              <c:f>'рис 17 з (R5,1)'!$I$3:$I$14</c:f>
              <c:strCache>
                <c:ptCount val="12"/>
                <c:pt idx="0">
                  <c:v>Великобританія</c:v>
                </c:pt>
                <c:pt idx="1">
                  <c:v>Німеччина</c:v>
                </c:pt>
                <c:pt idx="2">
                  <c:v>Польща</c:v>
                </c:pt>
                <c:pt idx="3">
                  <c:v>Швейцарія</c:v>
                </c:pt>
                <c:pt idx="4">
                  <c:v>Австрія</c:v>
                </c:pt>
                <c:pt idx="5">
                  <c:v>Франція</c:v>
                </c:pt>
                <c:pt idx="6">
                  <c:v>Сполучені Штати Америки</c:v>
                </c:pt>
                <c:pt idx="7">
                  <c:v>Чехія</c:v>
                </c:pt>
                <c:pt idx="8">
                  <c:v>Росія</c:v>
                </c:pt>
                <c:pt idx="9">
                  <c:v>Індія</c:v>
                </c:pt>
                <c:pt idx="10">
                  <c:v>Італія</c:v>
                </c:pt>
                <c:pt idx="11">
                  <c:v>Інші країни</c:v>
                </c:pt>
              </c:strCache>
            </c:strRef>
          </c:cat>
          <c:val>
            <c:numRef>
              <c:f>'рис 17 з (R5,1)'!$J$3:$J$14</c:f>
              <c:numCache>
                <c:formatCode>#,##0.0</c:formatCode>
                <c:ptCount val="12"/>
                <c:pt idx="0">
                  <c:v>711.2144100000005</c:v>
                </c:pt>
                <c:pt idx="1">
                  <c:v>558.19360000000052</c:v>
                </c:pt>
                <c:pt idx="2">
                  <c:v>372.10887000000031</c:v>
                </c:pt>
                <c:pt idx="3">
                  <c:v>319.08332999999948</c:v>
                </c:pt>
                <c:pt idx="4">
                  <c:v>253.93430000000004</c:v>
                </c:pt>
                <c:pt idx="5">
                  <c:v>149.50923000000009</c:v>
                </c:pt>
                <c:pt idx="6">
                  <c:v>126.13964</c:v>
                </c:pt>
                <c:pt idx="7">
                  <c:v>73.403480000000002</c:v>
                </c:pt>
                <c:pt idx="8">
                  <c:v>69.616360000000014</c:v>
                </c:pt>
                <c:pt idx="9">
                  <c:v>46.178960000000011</c:v>
                </c:pt>
                <c:pt idx="10">
                  <c:v>41.646500000000003</c:v>
                </c:pt>
                <c:pt idx="11">
                  <c:v>276.5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solidFill>
        <a:schemeClr val="tx1">
          <a:lumMod val="50000"/>
          <a:lumOff val="50000"/>
        </a:scheme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12</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ОГЛЯД</vt:lpstr>
    </vt:vector>
  </TitlesOfParts>
  <Company>ORG</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ОГЛЯД</dc:title>
  <dc:creator>t_khristenko</dc:creator>
  <cp:lastModifiedBy>Денисова Ирина</cp:lastModifiedBy>
  <cp:revision>3</cp:revision>
  <cp:lastPrinted>2019-04-16T07:07:00Z</cp:lastPrinted>
  <dcterms:created xsi:type="dcterms:W3CDTF">2019-05-29T06:50:00Z</dcterms:created>
  <dcterms:modified xsi:type="dcterms:W3CDTF">2019-05-29T06:52:00Z</dcterms:modified>
</cp:coreProperties>
</file>